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December 21,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multi-aged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(GS), high-density aggregated retention (HA), and high/low density dispersed</w:t>
      </w:r>
      <w:r>
        <w:t xml:space="preserve"> </w:t>
      </w:r>
      <w:r>
        <w:t xml:space="preserve">retention (HD; LD). We measured size and growth of 10-year old redwood and</w:t>
      </w:r>
      <w:r>
        <w:t xml:space="preserve"> </w:t>
      </w:r>
      <w:r>
        <w:t xml:space="preserve">tanoak stump sprout regeneration, the density of all tree species, and surface</w:t>
      </w:r>
      <w:r>
        <w:t xml:space="preserve"> </w:t>
      </w:r>
      <w:r>
        <w:t xml:space="preserve">fuels 10 years after partial harvests.</w:t>
      </w:r>
    </w:p>
    <w:p>
      <w:pPr>
        <w:pStyle w:val="BodyText"/>
      </w:pPr>
      <w:r>
        <w:t xml:space="preserve">Redwood regeneration responded strongly and positively to increasing openness</w:t>
      </w:r>
      <w:r>
        <w:t xml:space="preserve"> </w:t>
      </w:r>
      <w:r>
        <w:t xml:space="preserve">(10.1 m</w:t>
      </w:r>
      <w:r>
        <w:rPr>
          <w:vertAlign w:val="superscript"/>
        </w:rPr>
        <w:t xml:space="preserve">2</w:t>
      </w:r>
      <w:r>
        <w:t xml:space="preserve"> </w:t>
      </w:r>
      <w:r>
        <w:t xml:space="preserve">ha</w:t>
      </w:r>
      <w:r>
        <w:rPr>
          <w:vertAlign w:val="superscript"/>
        </w:rPr>
        <w:t xml:space="preserve">-1</w:t>
      </w:r>
      <w:r>
        <w:t xml:space="preserve"> </w:t>
      </w:r>
      <w:r>
        <w:t xml:space="preserve">in GS vs 0.9 m</w:t>
      </w:r>
      <w:r>
        <w:rPr>
          <w:vertAlign w:val="superscript"/>
        </w:rPr>
        <w:t xml:space="preserve">2</w:t>
      </w:r>
      <w:r>
        <w:t xml:space="preserve"> </w:t>
      </w:r>
      <w:r>
        <w:t xml:space="preserve">ha</w:t>
      </w:r>
      <w:r>
        <w:rPr>
          <w:vertAlign w:val="superscript"/>
        </w:rPr>
        <w:t xml:space="preserve">-1</w:t>
      </w:r>
      <w:r>
        <w:t xml:space="preserve"> </w:t>
      </w:r>
      <w:r>
        <w:t xml:space="preserve">in HD). Tanoak basal area response</w:t>
      </w:r>
      <w:r>
        <w:t xml:space="preserve"> </w:t>
      </w:r>
      <w:r>
        <w:t xml:space="preserve">was comparatively modest and was lowest in the HA treatment (2.2 m</w:t>
      </w:r>
      <w:r>
        <w:rPr>
          <w:vertAlign w:val="superscript"/>
        </w:rPr>
        <w:t xml:space="preserve">2</w:t>
      </w:r>
      <w:r>
        <w:t xml:space="preserve"> </w:t>
      </w:r>
      <w:r>
        <w:t xml:space="preserve">ha</w:t>
      </w:r>
      <w:r>
        <w:rPr>
          <w:vertAlign w:val="superscript"/>
        </w:rPr>
        <w:t xml:space="preserve">-1</w:t>
      </w:r>
      <w:r>
        <w:t xml:space="preserve"> </w:t>
      </w:r>
      <w:r>
        <w:t xml:space="preserve">in</w:t>
      </w:r>
      <w:r>
        <w:t xml:space="preserve"> </w:t>
      </w:r>
      <w:r>
        <w:t xml:space="preserve">GS vs 1.3 m</w:t>
      </w:r>
      <w:r>
        <w:rPr>
          <w:vertAlign w:val="superscript"/>
        </w:rPr>
        <w:t xml:space="preserve">2</w:t>
      </w:r>
      <w:r>
        <w:t xml:space="preserve"> </w:t>
      </w:r>
      <w:r>
        <w:t xml:space="preserve">ha</w:t>
      </w:r>
      <w:r>
        <w:rPr>
          <w:vertAlign w:val="superscript"/>
        </w:rPr>
        <w:t xml:space="preserve">-1</w:t>
      </w:r>
      <w:r>
        <w:t xml:space="preserve"> </w:t>
      </w:r>
      <w:r>
        <w:t xml:space="preserve">in HA). The difference between redwood and tanoak sprout</w:t>
      </w:r>
      <w:r>
        <w:t xml:space="preserve"> </w:t>
      </w:r>
      <w:r>
        <w:t xml:space="preserve">basal area decreased quickly with increasing canopy cover and tanoak basal area</w:t>
      </w:r>
      <w:r>
        <w:t xml:space="preserve"> </w:t>
      </w:r>
      <w:r>
        <w:t xml:space="preserve">was slightly greater than that of redwood in the HD treatment. Douglas-fir</w:t>
      </w:r>
      <w:r>
        <w:t xml:space="preserve"> </w:t>
      </w:r>
      <w:r>
        <w:t xml:space="preserve">seedling counts were consistent across treatments with an average expectation of</w:t>
      </w:r>
      <w:r>
        <w:t xml:space="preserve"> </w:t>
      </w:r>
      <w:r>
        <w:t xml:space="preserve">413 seedlings per hectare.</w:t>
      </w:r>
    </w:p>
    <w:p>
      <w:pPr>
        <w:pStyle w:val="BodyText"/>
      </w:pPr>
      <w:r>
        <w:t xml:space="preserve">Redwood grew faster and achieved greater heights than tanoak across all</w:t>
      </w:r>
      <w:r>
        <w:t xml:space="preserve"> </w:t>
      </w:r>
      <w:r>
        <w:t xml:space="preserve">treatments and growth periods. But redwood height growth slowed more than tanoak</w:t>
      </w:r>
      <w:r>
        <w:t xml:space="preserve"> </w:t>
      </w:r>
      <w:r>
        <w:t xml:space="preserve">in years 5-10 compared to years 1-5 (0.8 m yr</w:t>
      </w:r>
      <w:r>
        <w:rPr>
          <w:vertAlign w:val="superscript"/>
        </w:rPr>
        <w:t xml:space="preserve">-1</w:t>
      </w:r>
      <w:r>
        <w:t xml:space="preserve"> </w:t>
      </w:r>
      <w:r>
        <w:t xml:space="preserve">-&gt; 0.67 m yr</w:t>
      </w:r>
      <w:r>
        <w:rPr>
          <w:vertAlign w:val="superscript"/>
        </w:rPr>
        <w:t xml:space="preserve">-1</w:t>
      </w:r>
      <w:r>
        <w:t xml:space="preserve"> </w:t>
      </w:r>
      <w:r>
        <w:t xml:space="preserve">for redwood,</w:t>
      </w:r>
      <w:r>
        <w:t xml:space="preserve"> </w:t>
      </w:r>
      <w:r>
        <w:t xml:space="preserve">vs. 0.39 m yr</w:t>
      </w:r>
      <w:r>
        <w:rPr>
          <w:vertAlign w:val="superscript"/>
        </w:rPr>
        <w:t xml:space="preserve">-1</w:t>
      </w:r>
      <w:r>
        <w:t xml:space="preserve"> </w:t>
      </w:r>
      <w:r>
        <w:t xml:space="preserve">-&gt; 0.34 m yr</w:t>
      </w:r>
      <w:r>
        <w:rPr>
          <w:vertAlign w:val="superscript"/>
        </w:rPr>
        <w:t xml:space="preserve">-1</w:t>
      </w:r>
      <w:r>
        <w:t xml:space="preserve"> </w:t>
      </w:r>
      <w:r>
        <w:t xml:space="preserve">for tanoak). The mean height of redwood</w:t>
      </w:r>
      <w:r>
        <w:t xml:space="preserve"> </w:t>
      </w:r>
      <w:r>
        <w:t xml:space="preserve">sprouts at Year 10 ranged from 10.64 m in the GS treatment to 6.3 m in the HD</w:t>
      </w:r>
      <w:r>
        <w:t xml:space="preserve"> </w:t>
      </w:r>
      <w:r>
        <w:t xml:space="preserve">treatment. For tanoak, predicted mean height ranged from 5.2 m (GS) to 3.08 m</w:t>
      </w:r>
      <w:r>
        <w:t xml:space="preserve"> </w:t>
      </w:r>
      <w:r>
        <w:t xml:space="preserve">(HD).</w:t>
      </w:r>
    </w:p>
    <w:p>
      <w:pPr>
        <w:pStyle w:val="BodyText"/>
      </w:pPr>
      <w:r>
        <w:t xml:space="preserve">Fuel loading generally showed few statistically significant differences between</w:t>
      </w:r>
      <w:r>
        <w:t xml:space="preserve"> </w:t>
      </w:r>
      <w:r>
        <w:t xml:space="preserve">treatments. Vegetative fuel loading was highest in the GS treatment and nearly 3</w:t>
      </w:r>
      <w:r>
        <w:t xml:space="preserve"> </w:t>
      </w:r>
      <w:r>
        <w:t xml:space="preserve">times that of the HA treatment which was lowest. One-hour fuels were highest in</w:t>
      </w:r>
      <w:r>
        <w:t xml:space="preserve"> </w:t>
      </w:r>
      <w:r>
        <w:t xml:space="preserve">the HA treatment and around double that of the GS treatment.</w:t>
      </w:r>
    </w:p>
    <w:p>
      <w:pPr>
        <w:pStyle w:val="BodyText"/>
      </w:pPr>
      <w:r>
        <w:t xml:space="preserve">The PCT dramatically reduced live surface fuels and increased fine dead surface</w:t>
      </w:r>
      <w:r>
        <w:t xml:space="preserve"> </w:t>
      </w:r>
      <w:r>
        <w:t xml:space="preserve">fuels including 10- and 100-hour fuels, leading to greater stratification of</w:t>
      </w:r>
      <w:r>
        <w:t xml:space="preserve"> </w:t>
      </w:r>
      <w:r>
        <w:t xml:space="preserve">treatments in terms of dead fuels.</w:t>
      </w:r>
    </w:p>
    <w:p>
      <w:pPr>
        <w:pStyle w:val="BodyText"/>
      </w:pPr>
      <w:r>
        <w:t xml:space="preserve">Harvesting techniques designed to promote productivity (like GS, LD) resulted in</w:t>
      </w:r>
      <w:r>
        <w:t xml:space="preserve"> </w:t>
      </w:r>
      <w:r>
        <w:t xml:space="preserve">significantly greater redwood growth and height. However, these same</w:t>
      </w:r>
      <w:r>
        <w:t xml:space="preserve"> </w:t>
      </w:r>
      <w:r>
        <w:t xml:space="preserve">techniques also produced higher levels of live vegetation fuels pre-PCT and,</w:t>
      </w:r>
      <w:r>
        <w:t xml:space="preserve"> </w:t>
      </w:r>
      <w:r>
        <w:t xml:space="preserve">consequently, higher volumes of fine dead fuels (10-hr and 100-hr) immediately</w:t>
      </w:r>
      <w:r>
        <w:t xml:space="preserve"> </w:t>
      </w:r>
      <w:r>
        <w:t xml:space="preserve">following the PCT fuels treatment.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self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take</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(Gardiner &amp; Helmig, 1997; Keyser &amp; Zarnoch, 2014; Knapp et al., 2017)</w:t>
      </w:r>
      <w:r>
        <w:t xml:space="preserve">. Like most</w:t>
      </w:r>
      <w:r>
        <w:t xml:space="preserve"> </w:t>
      </w:r>
      <w:r>
        <w:t xml:space="preserve">sprouting species, despite redwoods shade tolerance it requires a certain</w:t>
      </w:r>
      <w:r>
        <w:t xml:space="preserve"> </w:t>
      </w:r>
      <w:r>
        <w:t xml:space="preserve">threshold of light to maintain growth</w:t>
      </w:r>
      <w:r>
        <w:t xml:space="preserve"> </w:t>
      </w:r>
      <w:r>
        <w:t xml:space="preserve">(O’Hara &amp; Berrill, 2010)</w:t>
      </w:r>
      <w:r>
        <w:t xml:space="preserve">. The</w:t>
      </w:r>
      <w:r>
        <w:t xml:space="preserve"> </w:t>
      </w:r>
      <w:r>
        <w:t xml:space="preserve">effect of understory light is weakest very early in sprout development when growth is</w:t>
      </w:r>
      <w:r>
        <w:t xml:space="preserve"> </w:t>
      </w:r>
      <w:r>
        <w:t xml:space="preserve">dominated by stored 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w:t>
      </w:r>
      <w:r>
        <w:t xml:space="preserve"> </w:t>
      </w:r>
      <w:r>
        <w:t xml:space="preserve">(Berrill et al., 2018)</w:t>
      </w:r>
      <w:r>
        <w:t xml:space="preserve">, tanoak</w:t>
      </w:r>
      <w:r>
        <w:t xml:space="preserve"> </w:t>
      </w:r>
      <w:r>
        <w:t xml:space="preserve">(Harrington et al., 1992)</w:t>
      </w:r>
      <w:r>
        <w:t xml:space="preserve">, and is common among eastern hardwoods as</w:t>
      </w:r>
      <w:r>
        <w:t xml:space="preserve"> </w:t>
      </w:r>
      <w:r>
        <w:t xml:space="preserve">well</w:t>
      </w:r>
      <w:r>
        <w:t xml:space="preserve"> </w:t>
      </w:r>
      <w:r>
        <w:t xml:space="preserve">(Dey et al., 1996; Keyser &amp; Loftis, 2015)</w:t>
      </w:r>
      <w:r>
        <w:t xml:space="preserve">, but varies</w:t>
      </w:r>
      <w:r>
        <w:t xml:space="preserve"> </w:t>
      </w:r>
      <w:r>
        <w:t xml:space="preserve">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after cutting has been demonstrated for larger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canopy closure.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can be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density using an assumed upper stand density index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PCT</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diameter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the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not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rPr>
          <w:rStyle w:val="VerbatimChar"/>
        </w:rPr>
        <w:t xml:space="preserve">https://fisher-j.github.io/multi-age</w:t>
      </w:r>
      <w:r>
        <w:t xml:space="preserve">. All response variables were analyzed</w:t>
      </w:r>
      <w:r>
        <w:t xml:space="preserve"> </w:t>
      </w:r>
      <w:r>
        <w:t xml:space="preserve">using multi-level models to account for the inherent nesting structure of the</w:t>
      </w:r>
      <w:r>
        <w:t xml:space="preserve"> </w:t>
      </w:r>
      <w:r>
        <w:t xml:space="preserve">data, 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If including a grouping level resulted in</w:t>
      </w:r>
      <w:r>
        <w:t xml:space="preserve"> </w:t>
      </w:r>
      <w:r>
        <w:t xml:space="preserve">a meaningful change in estimates or confidence intervals, the grouping level was</w:t>
      </w:r>
      <w:r>
        <w:t xml:space="preserve"> </w:t>
      </w:r>
      <w:r>
        <w:t xml:space="preserve">kept.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r>
              <w:t xml:space="preserve">Heiss (2022)</w:t>
            </w:r>
          </w:p>
          <w:p>
            <w:pPr>
              <w:pStyle w:val="Compact"/>
              <w:numPr>
                <w:ilvl w:val="0"/>
                <w:numId w:val="1001"/>
              </w:numPr>
            </w:pPr>
            <w:r>
              <w:t xml:space="preserve">Try to use terminology for conditional and marginal predictions described in</w:t>
            </w:r>
            <w:r>
              <w:t xml:space="preserve"> </w:t>
            </w:r>
            <w:r>
              <w:t xml:space="preserve">Heiss (2022)</w:t>
            </w:r>
          </w:p>
          <w:p>
            <w:pPr>
              <w:pStyle w:val="Compact"/>
              <w:numPr>
                <w:ilvl w:val="0"/>
                <w:numId w:val="1001"/>
              </w:numPr>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sepChr m:val=""/>
                          <m:end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sepChr m:val=""/>
                          <m:end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sepChr m:val=""/>
                          <m:endChr m:val=")"/>
                          <m:grow/>
                        </m:dPr>
                        <m:e>
                          <m:r>
                            <m:t>0</m:t>
                          </m:r>
                          <m:r>
                            <m:rPr>
                              <m:sty m:val="p"/>
                            </m:rPr>
                            <m:t>,</m:t>
                          </m:r>
                          <m:sSub>
                            <m:e>
                              <m:r>
                                <m:t>σ</m:t>
                              </m:r>
                            </m:e>
                            <m:sub>
                              <m:r>
                                <m:t>0</m:t>
                              </m:r>
                            </m:sub>
                          </m:sSub>
                        </m:e>
                      </m:d>
                    </m:e>
                    <m:e>
                      <m:r>
                        <m:rPr>
                          <m:nor/>
                          <m:sty m:val="p"/>
                        </m:rPr>
                        <m:t>Random country offsets from global average</m:t>
                      </m:r>
                    </m:e>
                  </m:mr>
                </m:m>
              </m:oMath>
            </m:oMathPara>
          </w:p>
          <w:p/>
        </w:tc>
      </w:tr>
    </w:tbl>
    <w:bookmarkStart w:id="48" w:name="regeneration-1"/>
    <w:p>
      <w:pPr>
        <w:pStyle w:val="Heading3"/>
      </w:pPr>
      <w:r>
        <w:t xml:space="preserve">2.4.1 Regeneration</w:t>
      </w:r>
    </w:p>
    <w:p>
      <w:pPr>
        <w:pStyle w:val="FirstParagraph"/>
      </w:pPr>
      <w:r>
        <w:t xml:space="preserve">Sprout count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(i.e.,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9"/>
    <w:bookmarkStart w:id="50"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50"/>
    <w:bookmarkEnd w:id="51"/>
    <w:bookmarkEnd w:id="52"/>
    <w:bookmarkStart w:id="119" w:name="results"/>
    <w:p>
      <w:pPr>
        <w:pStyle w:val="Heading1"/>
      </w:pPr>
      <w:r>
        <w:t xml:space="preserve">3. Results</w:t>
      </w:r>
    </w:p>
    <w:bookmarkStart w:id="73" w:name="regeneration-2"/>
    <w:p>
      <w:pPr>
        <w:pStyle w:val="Heading2"/>
      </w:pPr>
      <w:r>
        <w:t xml:space="preserve">3.1 Regeneration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w:t>
      </w:r>
    </w:p>
    <w:tbl>
      <w:tblPr>
        <w:tblStyle w:val="Table"/>
        <w:tblW w:type="pct" w:w="5000"/>
        <w:tblLayout w:type="fixed"/>
        <w:tblLook w:firstRow="0" w:lastRow="0" w:firstColumn="0" w:lastColumn="0" w:noHBand="0" w:noVBand="0" w:val="0000"/>
      </w:tblPr>
      <w:tblGrid>
        <w:gridCol w:w="7920"/>
      </w:tblGrid>
      <w:tr>
        <w:tc>
          <w:tcPr/>
          <w:bookmarkStart w:id="53"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m:oMathPara>
        <m:oMathParaPr>
          <m:jc m:val="center"/>
        </m:oMathParaPr>
        <m:oMath>
          <m:r>
            <m:rPr>
              <m:nor/>
              <m:sty m:val="p"/>
            </m:rPr>
            <m:t>hurdle_gamma</m:t>
          </m:r>
          <m:d>
            <m:dPr>
              <m:begChr m:val="("/>
              <m:sepChr m:val=""/>
              <m:endChr m:val=")"/>
              <m:grow/>
            </m:dPr>
            <m:e>
              <m:sSub>
                <m:e>
                  <m:r>
                    <m:t>y</m:t>
                  </m:r>
                </m:e>
                <m:sub>
                  <m:r>
                    <m:t>i</m:t>
                  </m:r>
                </m:sub>
              </m:sSub>
              <m:r>
                <m:rPr>
                  <m:sty m:val="p"/>
                </m:rPr>
                <m:t>∣</m:t>
              </m:r>
              <m:sSub>
                <m:e>
                  <m:r>
                    <m:t>π</m:t>
                  </m:r>
                </m:e>
                <m:sub>
                  <m:r>
                    <m:t>i</m:t>
                  </m:r>
                </m:sub>
              </m:sSub>
              <m:r>
                <m:rPr>
                  <m:sty m:val="p"/>
                </m:rPr>
                <m:t>,</m:t>
              </m:r>
              <m:sSub>
                <m:e>
                  <m:r>
                    <m:t>μ</m:t>
                  </m:r>
                </m:e>
                <m:sub>
                  <m:r>
                    <m:t>i</m:t>
                  </m:r>
                </m:sub>
              </m:sSub>
              <m:r>
                <m:rPr>
                  <m:sty m:val="p"/>
                </m:rPr>
                <m:t>,</m:t>
              </m:r>
              <m:sSub>
                <m:e>
                  <m:r>
                    <m:t>ϕ</m:t>
                  </m:r>
                </m:e>
                <m:sub>
                  <m:r>
                    <m:t>i</m:t>
                  </m:r>
                </m:sub>
              </m:sSub>
            </m:e>
          </m:d>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sSub>
                      <m:e>
                        <m:r>
                          <m:t>π</m:t>
                        </m:r>
                      </m:e>
                      <m:sub>
                        <m:r>
                          <m:t>i</m:t>
                        </m:r>
                      </m:sub>
                    </m:sSub>
                  </m:e>
                  <m:e>
                    <m:r>
                      <m:rPr>
                        <m:nor/>
                        <m:sty m:val="p"/>
                      </m:rPr>
                      <m:t>if </m:t>
                    </m:r>
                    <m:sSub>
                      <m:e>
                        <m:r>
                          <m:t>y</m:t>
                        </m:r>
                      </m:e>
                      <m:sub>
                        <m:r>
                          <m:t>i</m:t>
                        </m:r>
                      </m:sub>
                    </m:sSub>
                    <m:r>
                      <m:rPr>
                        <m:sty m:val="p"/>
                      </m:rPr>
                      <m:t>=</m:t>
                    </m:r>
                    <m:r>
                      <m:t>0</m:t>
                    </m:r>
                  </m:e>
                </m:mr>
                <m:mr>
                  <m:e>
                    <m:sSub>
                      <m:e>
                        <m:r>
                          <m:t>π</m:t>
                        </m:r>
                      </m:e>
                      <m:sub>
                        <m:r>
                          <m:t>i</m:t>
                        </m:r>
                      </m:sub>
                    </m:sSub>
                    <m:r>
                      <m:rPr>
                        <m:sty m:val="p"/>
                      </m:rPr>
                      <m:t>⋅</m:t>
                    </m:r>
                    <m:r>
                      <m:rPr>
                        <m:nor/>
                        <m:sty m:val="p"/>
                      </m:rPr>
                      <m:t>Gamma</m:t>
                    </m:r>
                    <m:d>
                      <m:dPr>
                        <m:begChr m:val="("/>
                        <m:sepChr m:val=""/>
                        <m:endChr m:val=")"/>
                        <m:grow/>
                      </m:dPr>
                      <m:e>
                        <m:sSub>
                          <m:e>
                            <m:r>
                              <m:t>y</m:t>
                            </m:r>
                          </m:e>
                          <m:sub>
                            <m:r>
                              <m:t>i</m:t>
                            </m:r>
                          </m:sub>
                        </m:sSub>
                        <m:r>
                          <m:rPr>
                            <m:sty m:val="p"/>
                          </m:rPr>
                          <m:t>∣</m:t>
                        </m:r>
                        <m:sSub>
                          <m:e>
                            <m:r>
                              <m:t>μ</m:t>
                            </m:r>
                          </m:e>
                          <m:sub>
                            <m:r>
                              <m:t>i</m:t>
                            </m:r>
                          </m:sub>
                        </m:sSub>
                        <m:r>
                          <m:rPr>
                            <m:sty m:val="p"/>
                          </m:rPr>
                          <m:t>,</m:t>
                        </m:r>
                        <m:sSub>
                          <m:e>
                            <m:r>
                              <m:t>ϕ</m:t>
                            </m:r>
                          </m:e>
                          <m:sub>
                            <m:r>
                              <m:t>i</m:t>
                            </m:r>
                          </m:sub>
                        </m:sSub>
                      </m:e>
                    </m:d>
                  </m:e>
                  <m:e>
                    <m:r>
                      <m:rPr>
                        <m:nor/>
                        <m:sty m:val="p"/>
                      </m:rPr>
                      <m:t>if </m:t>
                    </m:r>
                    <m:sSub>
                      <m:e>
                        <m:r>
                          <m:t>y</m:t>
                        </m:r>
                      </m:e>
                      <m:sub>
                        <m:r>
                          <m:t>i</m:t>
                        </m:r>
                      </m:sub>
                    </m:sSub>
                    <m:r>
                      <m:rPr>
                        <m:sty m:val="p"/>
                      </m:rPr>
                      <m:t>&gt;</m:t>
                    </m:r>
                    <m:r>
                      <m:t>0</m:t>
                    </m:r>
                  </m:e>
                </m:mr>
              </m:m>
            </m:e>
          </m:d>
        </m:oMath>
      </m:oMathPara>
    </w:p>
    <w:p>
      <w:pPr>
        <w:pStyle w:val="FirstParagraph"/>
      </w:pPr>
      <m:oMathPara>
        <m:oMathParaPr>
          <m:jc m:val="center"/>
        </m:oMathParaPr>
        <m:oMath>
          <m:sSub>
            <m:e>
              <m:r>
                <m:t>Y</m:t>
              </m:r>
            </m:e>
            <m:sub>
              <m:r>
                <m:t>i</m:t>
              </m:r>
            </m:sub>
          </m:sSub>
          <m:r>
            <m:rPr>
              <m:sty m:val="p"/>
            </m:rPr>
            <m:t>∼</m:t>
          </m:r>
          <m:r>
            <m:rPr>
              <m:nor/>
              <m:sty m:val="p"/>
            </m:rPr>
            <m:t>hurdle_gamma</m:t>
          </m:r>
          <m:d>
            <m:dPr>
              <m:begChr m:val="("/>
              <m:sepChr m:val=""/>
              <m:endChr m:val=")"/>
              <m:grow/>
            </m:dPr>
            <m:e>
              <m:sSub>
                <m:e>
                  <m:r>
                    <m:t>π</m:t>
                  </m:r>
                </m:e>
                <m:sub>
                  <m:r>
                    <m:t>i</m:t>
                  </m:r>
                </m:sub>
              </m:sSub>
              <m:r>
                <m:rPr>
                  <m:sty m:val="p"/>
                </m:rPr>
                <m:t>,</m:t>
              </m:r>
              <m:sSub>
                <m:e>
                  <m:r>
                    <m:t>μ</m:t>
                  </m:r>
                </m:e>
                <m:sub>
                  <m:r>
                    <m:t>i</m:t>
                  </m:r>
                </m:sub>
              </m:sSub>
              <m:r>
                <m:rPr>
                  <m:sty m:val="p"/>
                </m:rPr>
                <m:t>,</m:t>
              </m:r>
              <m:sSub>
                <m:e>
                  <m:r>
                    <m:t>ϕ</m:t>
                  </m:r>
                </m:e>
                <m:sub>
                  <m:r>
                    <m:t>i</m:t>
                  </m:r>
                </m:sub>
              </m:sSub>
            </m:e>
          </m:d>
        </m:oMath>
      </m:oMathPara>
    </w:p>
    <w:p>
      <w:pPr>
        <w:pStyle w:val="FirstParagraph"/>
      </w:pPr>
      <m:oMathPara>
        <m:oMathParaPr>
          <m:jc m:val="center"/>
        </m:oMathParaPr>
        <m:oMath>
          <m:r>
            <m:rPr>
              <m:nor/>
              <m:sty m:val="p"/>
            </m:rPr>
            <m:t>logit</m:t>
          </m:r>
          <m:d>
            <m:dPr>
              <m:begChr m:val="("/>
              <m:sepChr m:val=""/>
              <m:endChr m:val=")"/>
              <m:grow/>
            </m:dPr>
            <m:e>
              <m:sSub>
                <m:e>
                  <m:r>
                    <m:t>π</m:t>
                  </m:r>
                </m:e>
                <m:sub>
                  <m:r>
                    <m:t>i</m:t>
                  </m:r>
                </m:sub>
              </m:sSub>
            </m:e>
          </m:d>
          <m:r>
            <m:rPr>
              <m:sty m:val="p"/>
            </m:rPr>
            <m:t>=</m:t>
          </m:r>
          <m:sSubSup>
            <m:e>
              <m:r>
                <m:t>β</m:t>
              </m:r>
            </m:e>
            <m:sub>
              <m:r>
                <m:t>0</m:t>
              </m:r>
            </m:sub>
            <m:sup>
              <m:r>
                <m:t>π</m:t>
              </m:r>
            </m:sup>
          </m:sSubSup>
          <m:r>
            <m:rPr>
              <m:sty m:val="p"/>
            </m:rPr>
            <m:t>+</m:t>
          </m:r>
          <m:sSubSup>
            <m:e>
              <m:r>
                <m:t>β</m:t>
              </m:r>
            </m:e>
            <m:sub>
              <m:r>
                <m:rPr>
                  <m:nor/>
                  <m:sty m:val="p"/>
                </m:rPr>
                <m:t>spp</m:t>
              </m:r>
            </m:sub>
            <m:sup>
              <m:r>
                <m:t>π</m:t>
              </m:r>
            </m:sup>
          </m:sSubSup>
          <m:r>
            <m:rPr>
              <m:sty m:val="p"/>
            </m:rPr>
            <m:t>⋅</m:t>
          </m:r>
          <m:sSub>
            <m:e>
              <m:r>
                <m:rPr>
                  <m:nor/>
                  <m:sty m:val="p"/>
                </m:rPr>
                <m:t>Species</m:t>
              </m:r>
            </m:e>
            <m:sub>
              <m:r>
                <m:t>i</m:t>
              </m:r>
            </m:sub>
          </m:sSub>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r>
            <m:rPr>
              <m:nor/>
              <m:sty m:val="p"/>
            </m:rPr>
            <m:t>Trt</m:t>
          </m:r>
          <m:r>
            <m:rPr>
              <m:sty m:val="p"/>
            </m:rPr>
            <m:t>+</m:t>
          </m:r>
          <m:sSub>
            <m:e>
              <m:r>
                <m:t>α</m:t>
              </m:r>
            </m:e>
            <m:sub>
              <m:r>
                <m:t>j</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ϕ</m:t>
                  </m:r>
                </m:e>
                <m:sub>
                  <m:r>
                    <m:t>i</m:t>
                  </m:r>
                </m:sub>
              </m:sSub>
            </m:e>
          </m:d>
          <m:r>
            <m:rPr>
              <m:sty m:val="p"/>
            </m:rPr>
            <m:t>=</m:t>
          </m:r>
          <m:sSubSup>
            <m:e>
              <m:r>
                <m:t>β</m:t>
              </m:r>
            </m:e>
            <m:sub>
              <m:r>
                <m:t>0</m:t>
              </m:r>
            </m:sub>
            <m:sup>
              <m:r>
                <m:t>ϕ</m:t>
              </m:r>
            </m:sup>
          </m:sSubSup>
          <m:r>
            <m:rPr>
              <m:sty m:val="p"/>
            </m:rPr>
            <m:t>+</m:t>
          </m:r>
          <m:sSubSup>
            <m:e>
              <m:r>
                <m:t>β</m:t>
              </m:r>
            </m:e>
            <m:sub>
              <m:r>
                <m:rPr>
                  <m:nor/>
                  <m:sty m:val="p"/>
                </m:rPr>
                <m:t>spp</m:t>
              </m:r>
            </m:sub>
            <m:sup>
              <m:r>
                <m:t>ϕ</m:t>
              </m:r>
            </m:sup>
          </m:sSubSup>
          <m:r>
            <m:rPr>
              <m:sty m:val="p"/>
            </m:rPr>
            <m:t>⋅</m:t>
          </m:r>
          <m:sSub>
            <m:e>
              <m:r>
                <m:rPr>
                  <m:nor/>
                  <m:sty m:val="p"/>
                </m:rPr>
                <m:t>Species</m:t>
              </m:r>
            </m:e>
            <m:sub>
              <m:r>
                <m:t>i</m:t>
              </m:r>
            </m:sub>
          </m:sSub>
        </m:oMath>
      </m:oMathPara>
    </w:p>
    <w:p>
      <w:pPr>
        <w:pStyle w:val="FirstParagraph"/>
      </w:pPr>
      <m:oMathPara>
        <m:oMathParaPr>
          <m:jc m:val="center"/>
        </m:oMathParaPr>
        <m:oMath>
          <m:sSub>
            <m:e>
              <m:r>
                <m:t>α</m:t>
              </m:r>
            </m:e>
            <m:sub>
              <m:r>
                <m:t>j</m:t>
              </m:r>
            </m:sub>
          </m:sSub>
          <m:r>
            <m:rPr>
              <m:sty m:val="p"/>
            </m:rPr>
            <m:t>∼</m:t>
          </m:r>
          <m:r>
            <m:t>N</m:t>
          </m:r>
          <m:d>
            <m:dPr>
              <m:begChr m:val="("/>
              <m:sepChr m:val=""/>
              <m:endChr m:val=")"/>
              <m:grow/>
            </m:dPr>
            <m:e>
              <m:r>
                <m:t>0</m:t>
              </m:r>
              <m:r>
                <m:rPr>
                  <m:sty m:val="p"/>
                </m:rPr>
                <m:t>,</m:t>
              </m:r>
              <m:sSubSup>
                <m:e>
                  <m:r>
                    <m:t>σ</m:t>
                  </m:r>
                </m:e>
                <m:sub>
                  <m:r>
                    <m:t>j</m:t>
                  </m:r>
                </m:sub>
                <m:sup>
                  <m:r>
                    <m:t>2</m:t>
                  </m:r>
                </m:sup>
              </m:sSubSup>
            </m:e>
          </m:d>
        </m:oMath>
      </m:oMathPara>
    </w:p>
    <w:p>
      <w:pPr>
        <w:pStyle w:val="Compact"/>
        <w:numPr>
          <w:ilvl w:val="0"/>
          <w:numId w:val="1002"/>
        </w:numPr>
      </w:pPr>
      <m:oMath>
        <m:sSub>
          <m:e>
            <m:r>
              <m:t>Y</m:t>
            </m:r>
          </m:e>
          <m:sub>
            <m:r>
              <m:t>i</m:t>
            </m:r>
          </m:sub>
        </m:sSub>
      </m:oMath>
      <w:r>
        <w:t xml:space="preserve">: Total basal area per hectare for each species in a 4-meter radius</w:t>
      </w:r>
      <w:r>
        <w:t xml:space="preserve"> </w:t>
      </w:r>
      <w:r>
        <w:t xml:space="preserve">regeneration plot.</w:t>
      </w:r>
    </w:p>
    <w:p>
      <w:pPr>
        <w:pStyle w:val="Compact"/>
        <w:numPr>
          <w:ilvl w:val="0"/>
          <w:numId w:val="1002"/>
        </w:numPr>
      </w:pPr>
      <m:oMath>
        <m:sSub>
          <m:e>
            <m:r>
              <m:t>π</m:t>
            </m:r>
          </m:e>
          <m:sub>
            <m:r>
              <m:t>i</m:t>
            </m:r>
          </m:sub>
        </m:sSub>
      </m:oMath>
      <w:r>
        <w:t xml:space="preserve">: Probability that</w:t>
      </w:r>
      <w:r>
        <w:t xml:space="preserve"> </w:t>
      </w:r>
      <m:oMath>
        <m:sSub>
          <m:e>
            <m:r>
              <m:t>Y</m:t>
            </m:r>
          </m:e>
          <m:sub>
            <m:r>
              <m:t>i</m:t>
            </m:r>
          </m:sub>
        </m:sSub>
        <m:r>
          <m:rPr>
            <m:sty m:val="p"/>
          </m:rPr>
          <m:t>&gt;</m:t>
        </m:r>
        <m:r>
          <m:t>0</m:t>
        </m:r>
      </m:oMath>
    </w:p>
    <w:p>
      <w:pPr>
        <w:pStyle w:val="Compact"/>
        <w:numPr>
          <w:ilvl w:val="0"/>
          <w:numId w:val="1002"/>
        </w:numPr>
      </w:pPr>
      <m:oMath>
        <m:sSub>
          <m:e>
            <m:r>
              <m:t>μ</m:t>
            </m:r>
          </m:e>
          <m:sub>
            <m:r>
              <m:t>i</m:t>
            </m:r>
          </m:sub>
        </m:sSub>
      </m:oMath>
      <w:r>
        <w:t xml:space="preserve">: Mean of positive values.</w:t>
      </w:r>
    </w:p>
    <w:p>
      <w:pPr>
        <w:pStyle w:val="Compact"/>
        <w:numPr>
          <w:ilvl w:val="0"/>
          <w:numId w:val="1002"/>
        </w:numPr>
      </w:pPr>
      <m:oMath>
        <m:sSub>
          <m:e>
            <m:r>
              <m:t>ϕ</m:t>
            </m:r>
          </m:e>
          <m:sub>
            <m:r>
              <m:t>i</m:t>
            </m:r>
          </m:sub>
        </m:sSub>
      </m:oMath>
      <w:r>
        <w:t xml:space="preserve">: Dispersion parameter for Gamma distribution</w:t>
      </w:r>
    </w:p>
    <w:p>
      <w:pPr>
        <w:pStyle w:val="Compact"/>
        <w:numPr>
          <w:ilvl w:val="0"/>
          <w:numId w:val="1002"/>
        </w:numPr>
      </w:pPr>
      <m:oMath>
        <m:sSub>
          <m:e>
            <m:r>
              <m:t>α</m:t>
            </m:r>
          </m:e>
          <m:sub>
            <m:r>
              <m:t>j</m:t>
            </m:r>
          </m:sub>
        </m:sSub>
      </m:oMath>
      <w:r>
        <w:t xml:space="preserve">: Group effect pertaining to a site:species interaction</w:t>
      </w:r>
    </w:p>
    <w:p>
      <w:pPr>
        <w:pStyle w:val="FirstParagraph"/>
      </w:pPr>
      <w:r>
        <w:t xml:space="preserve">Focal species for this model included redwood, tanaok, Douglas-fir, and other</w:t>
      </w:r>
      <w:r>
        <w:t xml:space="preserve"> </w:t>
      </w:r>
      <w:r>
        <w:t xml:space="preserve">species.</w:t>
      </w:r>
    </w:p>
    <w:p>
      <w:pPr>
        <w:pStyle w:val="BodyText"/>
      </w:pPr>
      <w:r>
        <w:t xml:space="preserve">Redwood regeneration basal area showed the greatest treatment response.</w:t>
      </w:r>
      <w:r>
        <w:t xml:space="preserve"> </w:t>
      </w:r>
      <w:r>
        <w:t xml:space="preserve">The GS treatment had the greatest basal area of redwood regeneration at</w:t>
      </w:r>
      <w:r>
        <w:t xml:space="preserve"> </w:t>
      </w:r>
      <w:r>
        <w:t xml:space="preserve">10.12 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regeneration basal area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4"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multiaged redwood forest. The asymptotic 95% confidence intervals are based on the normal approximation.</w:t>
            </w:r>
          </w:p>
          <w:tbl>
            <w:tblPr>
              <w:tblStyle w:val="Table"/>
              <w:tblW w:type="pct" w:w="3056"/>
              <w:tblLayout w:type="fixed"/>
              <w:tblLook w:firstRow="1" w:lastRow="0" w:firstColumn="0" w:lastColumn="0" w:noHBand="0" w:noVBand="0" w:val="0020"/>
            </w:tblPr>
            <w:tblGrid>
              <w:gridCol w:w="88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0.67</w:t>
                  </w:r>
                </w:p>
              </w:tc>
              <w:tc>
                <w:tcPr/>
                <w:p>
                  <w:pPr>
                    <w:pStyle w:val="Compact"/>
                    <w:jc w:val="center"/>
                  </w:pPr>
                  <w:r>
                    <w:t xml:space="preserve">2.50</w:t>
                  </w:r>
                </w:p>
              </w:tc>
            </w:tr>
          </w:tbl>
          <w:bookmarkEnd w:id="54"/>
          <w:p/>
        </w:tc>
      </w:tr>
    </w:tbl>
    <w:tbl>
      <w:tblPr>
        <w:tblStyle w:val="Table"/>
        <w:tblW w:type="pct" w:w="5000"/>
        <w:tblLayout w:type="fixed"/>
        <w:tblLook w:firstRow="0" w:lastRow="0" w:firstColumn="0" w:lastColumn="0" w:noHBand="0" w:noVBand="0" w:val="0000"/>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 Note: Y-axes vary by species.</w:t>
            </w:r>
          </w:p>
          <w:bookmarkEnd w:id="58"/>
        </w:tc>
      </w:tr>
    </w:tbl>
    <w:tbl>
      <w:tblPr>
        <w:tblStyle w:val="Table"/>
        <w:tblW w:type="pct" w:w="5000"/>
        <w:tblLayout w:type="fixed"/>
        <w:tblLook w:firstRow="0" w:lastRow="0" w:firstColumn="0" w:lastColumn="0" w:noHBand="0" w:noVBand="0" w:val="0000"/>
      </w:tblPr>
      <w:tblGrid>
        <w:gridCol w:w="7920"/>
      </w:tblGrid>
      <w:tr>
        <w:tc>
          <w:tcPr/>
          <w:bookmarkStart w:id="59"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3889"/>
              <w:tblLayout w:type="fixed"/>
              <w:tblLook w:firstRow="1" w:lastRow="0" w:firstColumn="0" w:lastColumn="0" w:noHBand="0" w:noVBand="0" w:val="0020"/>
            </w:tblPr>
            <w:tblGrid>
              <w:gridCol w:w="880"/>
              <w:gridCol w:w="1320"/>
              <w:gridCol w:w="990"/>
              <w:gridCol w:w="77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0.39</w:t>
                  </w:r>
                </w:p>
              </w:tc>
              <w:tc>
                <w:tcPr/>
                <w:p>
                  <w:pPr>
                    <w:pStyle w:val="Compact"/>
                    <w:jc w:val="center"/>
                  </w:pPr>
                  <w:r>
                    <w:t xml:space="preserve">2.11</w:t>
                  </w:r>
                </w:p>
              </w:tc>
            </w:tr>
          </w:tbl>
          <w:bookmarkEnd w:id="5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125"/>
              <w:tblLayout w:type="fixed"/>
              <w:tblLook w:firstRow="1" w:lastRow="0" w:firstColumn="0" w:lastColumn="0" w:noHBand="0" w:noVBand="0" w:val="0020"/>
            </w:tblPr>
            <w:tblGrid>
              <w:gridCol w:w="880"/>
              <w:gridCol w:w="1210"/>
              <w:gridCol w:w="990"/>
              <w:gridCol w:w="77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w:t>
      </w:r>
      <w:hyperlink w:anchor="fig-regen-ba-rw-to">
        <w:r>
          <w:rPr>
            <w:rStyle w:val="Hyperlink"/>
          </w:rPr>
          <w:t xml:space="preserve">Figure 3.2</w:t>
        </w:r>
      </w:hyperlink>
      <w:r>
        <w:t xml:space="preserve">). In the HD</w:t>
      </w:r>
      <w:r>
        <w:t xml:space="preserve"> </w:t>
      </w:r>
      <w:r>
        <w:t xml:space="preserve">treatment redwood and tanoak average basal area uncertainty across sites is very</w:t>
      </w:r>
      <w:r>
        <w:t xml:space="preserve"> </w:t>
      </w:r>
      <w:r>
        <w:t xml:space="preserve">similar.</w:t>
      </w:r>
    </w:p>
    <w:tbl>
      <w:tblPr>
        <w:tblStyle w:val="Table"/>
        <w:tblW w:type="pct" w:w="5000"/>
        <w:tblLayout w:type="fixed"/>
        <w:tblLook w:firstRow="0" w:lastRow="0" w:firstColumn="0" w:lastColumn="0" w:noHBand="0" w:noVBand="0" w:val="0000"/>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sites</w:t>
      </w:r>
      <w:r>
        <w:t xml:space="preserve"> </w:t>
      </w:r>
      <w:r>
        <w:t xml:space="preserve">and macro plots within sites.</w:t>
      </w:r>
    </w:p>
    <w:tbl>
      <w:tblPr>
        <w:tblStyle w:val="Table"/>
        <w:tblW w:type="pct" w:w="5000"/>
        <w:tblLayout w:type="fixed"/>
        <w:tblLook w:firstRow="0" w:lastRow="0" w:firstColumn="0" w:lastColumn="0" w:noHBand="0" w:noVBand="0" w:val="0000"/>
      </w:tblPr>
      <w:tblGrid>
        <w:gridCol w:w="7920"/>
      </w:tblGrid>
      <w:tr>
        <w:tc>
          <w:tcPr/>
          <w:bookmarkStart w:id="66"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m:oMathPara>
        <m:oMathParaPr>
          <m:jc m:val="center"/>
        </m:oMathParaPr>
        <m:oMath>
          <m:sSub>
            <m:e>
              <m:r>
                <m:t>Y</m:t>
              </m:r>
            </m:e>
            <m:sub>
              <m:r>
                <m:t>i</m:t>
              </m:r>
            </m:sub>
          </m:sSub>
          <m:r>
            <m:rPr>
              <m:sty m:val="p"/>
            </m:rPr>
            <m:t>∼</m:t>
          </m:r>
          <m:r>
            <m:rPr>
              <m:nor/>
              <m:sty m:val="p"/>
            </m:rPr>
            <m:t>NB1</m:t>
          </m:r>
          <m:d>
            <m:dPr>
              <m:begChr m:val="("/>
              <m:sepChr m:val=""/>
              <m:endChr m:val=")"/>
              <m:grow/>
            </m:dPr>
            <m:e>
              <m:sSub>
                <m:e>
                  <m:r>
                    <m:t>μ</m:t>
                  </m:r>
                </m:e>
                <m:sub>
                  <m:r>
                    <m:t>i</m:t>
                  </m:r>
                </m:sub>
              </m:sSub>
              <m:r>
                <m:rPr>
                  <m:sty m:val="p"/>
                </m:rPr>
                <m:t>,</m:t>
              </m:r>
              <m:r>
                <m:t>ϕ</m:t>
              </m:r>
            </m:e>
          </m:d>
          <m:r>
            <m:rPr>
              <m:sty m:val="p"/>
            </m:rPr>
            <m:t>;</m:t>
          </m:r>
          <m:r>
            <m:t> </m:t>
          </m:r>
          <m:r>
            <m:rPr>
              <m:nor/>
              <m:sty m:val="p"/>
            </m:rPr>
            <m:t>where</m:t>
          </m:r>
          <m:r>
            <m:t> </m:t>
          </m:r>
          <m:r>
            <m:t>V</m:t>
          </m:r>
          <m:r>
            <m:t>a</m:t>
          </m:r>
          <m:r>
            <m:t>r</m:t>
          </m:r>
          <m:d>
            <m:dPr>
              <m:begChr m:val="("/>
              <m:sepChr m:val=""/>
              <m:endChr m:val=")"/>
              <m:grow/>
            </m:dPr>
            <m:e>
              <m:sSub>
                <m:e>
                  <m:r>
                    <m:t>Y</m:t>
                  </m:r>
                </m:e>
                <m:sub>
                  <m:r>
                    <m:t>i</m:t>
                  </m:r>
                </m:sub>
              </m:sSub>
            </m:e>
          </m:d>
          <m:r>
            <m:rPr>
              <m:sty m:val="p"/>
            </m:rPr>
            <m:t>=</m:t>
          </m:r>
          <m:sSub>
            <m:e>
              <m:r>
                <m:t>μ</m:t>
              </m:r>
            </m:e>
            <m:sub>
              <m:r>
                <m:t>i</m:t>
              </m:r>
            </m:sub>
          </m:sSub>
          <m:r>
            <m:rPr>
              <m:sty m:val="p"/>
            </m:rPr>
            <m:t>+</m:t>
          </m:r>
          <m:r>
            <m:t>ϕ</m:t>
          </m:r>
          <m:sSub>
            <m:e>
              <m:r>
                <m:t>μ</m:t>
              </m:r>
            </m:e>
            <m:sub>
              <m:r>
                <m:t>i</m:t>
              </m:r>
            </m:sub>
          </m:sSub>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
            <m:e>
              <m:r>
                <m:t>β</m:t>
              </m:r>
            </m:e>
            <m:sub>
              <m:r>
                <m:t>0</m:t>
              </m:r>
            </m:sub>
          </m:sSub>
          <m:r>
            <m:rPr>
              <m:sty m:val="p"/>
            </m:rPr>
            <m:t>+</m:t>
          </m:r>
          <m:sSub>
            <m:e>
              <m:r>
                <m:t>β</m:t>
              </m:r>
            </m:e>
            <m:sub>
              <m:r>
                <m:rPr>
                  <m:nor/>
                  <m:sty m:val="p"/>
                </m:rPr>
                <m:t>trt</m:t>
              </m:r>
            </m:sub>
          </m:sSub>
          <m:r>
            <m:rPr>
              <m:sty m:val="p"/>
            </m:rPr>
            <m:t>⋅</m:t>
          </m:r>
          <m:sSub>
            <m:e>
              <m:r>
                <m:rPr>
                  <m:nor/>
                  <m:sty m:val="p"/>
                </m:rPr>
                <m:t>Trt</m:t>
              </m:r>
            </m:e>
            <m:sub>
              <m:r>
                <m:t>i</m:t>
              </m:r>
            </m:sub>
          </m:sSub>
          <m:r>
            <m:rPr>
              <m:sty m:val="p"/>
            </m:rPr>
            <m:t>+</m:t>
          </m:r>
          <m:sSub>
            <m:e>
              <m:r>
                <m:t>α</m:t>
              </m:r>
            </m:e>
            <m:sub>
              <m:r>
                <m:t>j</m:t>
              </m:r>
              <m:d>
                <m:dPr>
                  <m:begChr m:val="["/>
                  <m:sepChr m:val=""/>
                  <m:endChr m:val="]"/>
                  <m:grow/>
                </m:dPr>
                <m:e>
                  <m:r>
                    <m:t>i</m:t>
                  </m:r>
                </m:e>
              </m:d>
            </m:sub>
          </m:sSub>
          <m:r>
            <m:rPr>
              <m:sty m:val="p"/>
            </m:rPr>
            <m:t>+</m:t>
          </m:r>
          <m:sSub>
            <m:e>
              <m:r>
                <m:t>α</m:t>
              </m:r>
            </m:e>
            <m:sub>
              <m:r>
                <m:t>k</m:t>
              </m:r>
              <m:d>
                <m:dPr>
                  <m:begChr m:val="["/>
                  <m:sepChr m:val=""/>
                  <m:endChr m:val="]"/>
                  <m:grow/>
                </m:dPr>
                <m:e>
                  <m:r>
                    <m:t>i</m:t>
                  </m:r>
                </m:e>
              </m:d>
            </m:sub>
          </m:sSub>
        </m:oMath>
      </m:oMathPara>
    </w:p>
    <w:p>
      <w:pPr>
        <w:pStyle w:val="FirstParagraph"/>
      </w:pPr>
      <m:oMathPara>
        <m:oMathParaPr>
          <m:jc m:val="center"/>
        </m:oMathParaPr>
        <m:oMath>
          <m:sSub>
            <m:e>
              <m:r>
                <m:t>α</m:t>
              </m:r>
            </m:e>
            <m:sub>
              <m:r>
                <m:t>j</m:t>
              </m:r>
            </m:sub>
          </m:sSub>
          <m:r>
            <m:rPr>
              <m:sty m:val="p"/>
            </m:rPr>
            <m:t>∼</m:t>
          </m:r>
          <m:r>
            <m:rPr>
              <m:sty m:val="p"/>
            </m:rPr>
            <m:t>N</m:t>
          </m:r>
          <m:d>
            <m:dPr>
              <m:begChr m:val="("/>
              <m:sepChr m:val=""/>
              <m:endChr m:val=")"/>
              <m:grow/>
            </m:dPr>
            <m:e>
              <m:r>
                <m:t>0</m:t>
              </m:r>
              <m:r>
                <m:rPr>
                  <m:sty m:val="p"/>
                </m:rPr>
                <m:t>,</m:t>
              </m:r>
              <m:sSubSup>
                <m:e>
                  <m:r>
                    <m:t>σ</m:t>
                  </m:r>
                </m:e>
                <m:sub>
                  <m:r>
                    <m:t>j</m:t>
                  </m:r>
                </m:sub>
                <m:sup>
                  <m:r>
                    <m:t>2</m:t>
                  </m:r>
                </m:sup>
              </m:sSubSup>
            </m:e>
          </m:d>
          <m:r>
            <m:rPr>
              <m:sty m:val="p"/>
            </m:rPr>
            <m:t>,</m:t>
          </m:r>
          <m:r>
            <m:t> </m:t>
          </m:r>
          <m:sSub>
            <m:e>
              <m:r>
                <m:t>α</m:t>
              </m:r>
            </m:e>
            <m:sub>
              <m:r>
                <m:t>k</m:t>
              </m:r>
            </m:sub>
          </m:sSub>
          <m:r>
            <m:rPr>
              <m:sty m:val="p"/>
            </m:rPr>
            <m:t>∼</m:t>
          </m:r>
          <m:r>
            <m:rPr>
              <m:sty m:val="p"/>
            </m:rPr>
            <m:t>N</m:t>
          </m:r>
          <m:d>
            <m:dPr>
              <m:begChr m:val="("/>
              <m:sepChr m:val=""/>
              <m:endChr m:val=")"/>
              <m:grow/>
            </m:dPr>
            <m:e>
              <m:r>
                <m:t>0</m:t>
              </m:r>
              <m:r>
                <m:rPr>
                  <m:sty m:val="p"/>
                </m:rPr>
                <m:t>,</m:t>
              </m:r>
              <m:sSubSup>
                <m:e>
                  <m:r>
                    <m:t>σ</m:t>
                  </m:r>
                </m:e>
                <m:sub>
                  <m:r>
                    <m:t>k</m:t>
                  </m:r>
                </m:sub>
                <m:sup>
                  <m:r>
                    <m:t>2</m:t>
                  </m:r>
                </m:sup>
              </m:sSubSup>
            </m:e>
          </m:d>
        </m:oMath>
      </m:oMathPara>
    </w:p>
    <w:p>
      <w:pPr>
        <w:pStyle w:val="Compact"/>
        <w:numPr>
          <w:ilvl w:val="0"/>
          <w:numId w:val="1003"/>
        </w:numPr>
      </w:pPr>
      <m:oMath>
        <m:sSub>
          <m:e>
            <m:r>
              <m:t>Y</m:t>
            </m:r>
          </m:e>
          <m:sub>
            <m:r>
              <m:t>i</m:t>
            </m:r>
          </m:sub>
        </m:sSub>
      </m:oMath>
      <w:r>
        <w:t xml:space="preserve">: Count of Douglas-fir seedlings in a 4-meter radius vegetation plot.</w:t>
      </w:r>
    </w:p>
    <w:p>
      <w:pPr>
        <w:pStyle w:val="Compact"/>
        <w:numPr>
          <w:ilvl w:val="0"/>
          <w:numId w:val="1003"/>
        </w:numPr>
      </w:pPr>
      <m:oMath>
        <m:sSub>
          <m:e>
            <m:r>
              <m:t>μ</m:t>
            </m:r>
          </m:e>
          <m:sub>
            <m:r>
              <m:t>i</m:t>
            </m:r>
          </m:sub>
        </m:sSub>
      </m:oMath>
      <w:r>
        <w:t xml:space="preserve">: The expected count for vegetation plot</w:t>
      </w:r>
      <w:r>
        <w:t xml:space="preserve"> </w:t>
      </w:r>
      <m:oMath>
        <m:r>
          <m:t>i</m:t>
        </m:r>
      </m:oMath>
      <w:r>
        <w:t xml:space="preserve">.</w:t>
      </w:r>
    </w:p>
    <w:p>
      <w:pPr>
        <w:pStyle w:val="Compact"/>
        <w:numPr>
          <w:ilvl w:val="0"/>
          <w:numId w:val="1003"/>
        </w:numPr>
      </w:pPr>
      <m:oMath>
        <m:sSub>
          <m:e>
            <m:r>
              <m:t>β</m:t>
            </m:r>
          </m:e>
          <m:sub>
            <m:r>
              <m:rPr>
                <m:nor/>
                <m:sty m:val="p"/>
              </m:rPr>
              <m:t>trt</m:t>
            </m:r>
          </m:sub>
        </m:sSub>
      </m:oMath>
      <w:r>
        <w:t xml:space="preserve">: Fixed effect for harvest treatment.</w:t>
      </w:r>
    </w:p>
    <w:p>
      <w:pPr>
        <w:pStyle w:val="Compact"/>
        <w:numPr>
          <w:ilvl w:val="0"/>
          <w:numId w:val="1003"/>
        </w:numPr>
      </w:pPr>
      <m:oMath>
        <m:sSub>
          <m:e>
            <m:r>
              <m:t>α</m:t>
            </m:r>
          </m:e>
          <m:sub>
            <m:r>
              <m:t>j</m:t>
            </m:r>
          </m:sub>
        </m:sSub>
      </m:oMath>
      <w:r>
        <w:t xml:space="preserve">: Random intercept for site.</w:t>
      </w:r>
    </w:p>
    <w:p>
      <w:pPr>
        <w:pStyle w:val="Compact"/>
        <w:numPr>
          <w:ilvl w:val="0"/>
          <w:numId w:val="1003"/>
        </w:numPr>
      </w:pPr>
      <m:oMath>
        <m:sSub>
          <m:e>
            <m:r>
              <m:t>α</m:t>
            </m:r>
          </m:e>
          <m:sub>
            <m:r>
              <m:t>k</m:t>
            </m:r>
          </m:sub>
        </m:sSub>
      </m:oMath>
      <w:r>
        <w:t xml:space="preserve">: Random intercept for plots within sites.</w:t>
      </w:r>
    </w:p>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Expected (emmeans) average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1"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m:oMathPara>
        <m:oMathParaPr>
          <m:jc m:val="center"/>
        </m:oMathParaPr>
        <m:oMath>
          <m:sSub>
            <m:e>
              <m:r>
                <m:t>Y</m:t>
              </m:r>
            </m:e>
            <m:sub>
              <m:r>
                <m:t>i</m:t>
              </m:r>
            </m:sub>
          </m:sSub>
          <m:r>
            <m:rPr>
              <m:sty m:val="p"/>
            </m:rPr>
            <m:t>∼</m:t>
          </m:r>
          <m:r>
            <m:rPr>
              <m:sty m:val="p"/>
            </m:rPr>
            <m:t>N</m:t>
          </m:r>
          <m:d>
            <m:dPr>
              <m:begChr m:val="("/>
              <m:sepChr m:val=""/>
              <m:endChr m:val=")"/>
              <m:grow/>
            </m:dPr>
            <m:e>
              <m:sSub>
                <m:e>
                  <m:r>
                    <m:t>μ</m:t>
                  </m:r>
                </m:e>
                <m:sub>
                  <m:r>
                    <m:t>i</m:t>
                  </m:r>
                </m:sub>
              </m:sSub>
              <m:r>
                <m:rPr>
                  <m:sty m:val="p"/>
                </m:rPr>
                <m:t>,</m:t>
              </m:r>
              <m:sSubSup>
                <m:e>
                  <m:r>
                    <m:t>σ</m:t>
                  </m:r>
                </m:e>
                <m:sub>
                  <m:r>
                    <m:t>i</m:t>
                  </m:r>
                </m:sub>
                <m:sup>
                  <m:r>
                    <m:t>2</m:t>
                  </m:r>
                </m:sup>
              </m:sSubSup>
            </m:e>
          </m:d>
        </m:oMath>
      </m:oMathPara>
    </w:p>
    <w:p>
      <w:pPr>
        <w:pStyle w:val="FirstParagraph"/>
      </w:pPr>
      <m:oMathPara>
        <m:oMathParaPr>
          <m:jc m:val="center"/>
        </m:oMathParaPr>
        <m:oMath>
          <m:sSub>
            <m:e>
              <m:r>
                <m:t>μ</m:t>
              </m:r>
            </m:e>
            <m:sub>
              <m:r>
                <m:t>i</m:t>
              </m:r>
            </m:sub>
          </m:sSub>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Sup>
            <m:e>
              <m:r>
                <m:t>β</m:t>
              </m:r>
            </m:e>
            <m:sub>
              <m:r>
                <m:rPr>
                  <m:nor/>
                  <m:sty m:val="p"/>
                </m:rPr>
                <m:t>year</m:t>
              </m:r>
            </m:sub>
            <m:sup>
              <m:r>
                <m:t>μ</m:t>
              </m:r>
            </m:sup>
          </m:sSubSup>
          <m:r>
            <m:rPr>
              <m:sty m:val="p"/>
            </m:rPr>
            <m:t>⋅</m:t>
          </m:r>
          <m:sSub>
            <m:e>
              <m:r>
                <m:rPr>
                  <m:nor/>
                  <m:sty m:val="p"/>
                </m:rPr>
                <m:t>Year</m:t>
              </m:r>
            </m:e>
            <m:sub>
              <m:r>
                <m:t>i</m:t>
              </m:r>
            </m:sub>
          </m:sSub>
          <m:r>
            <m:rPr>
              <m:sty m:val="p"/>
            </m:rPr>
            <m:t>+</m:t>
          </m:r>
          <m:sSubSup>
            <m:e>
              <m:r>
                <m:t>β</m:t>
              </m:r>
            </m:e>
            <m:sub>
              <m:r>
                <m:rPr>
                  <m:nor/>
                  <m:sty m:val="p"/>
                </m:rPr>
                <m:t>spp</m:t>
              </m:r>
            </m:sub>
            <m:sup>
              <m:r>
                <m:t>μ</m:t>
              </m:r>
            </m:sup>
          </m:sSubSup>
          <m:r>
            <m:rPr>
              <m:sty m:val="p"/>
            </m:rPr>
            <m:t>⋅</m:t>
          </m:r>
          <m:sSub>
            <m:e>
              <m:r>
                <m:rPr>
                  <m:nor/>
                  <m:sty m:val="p"/>
                </m:rPr>
                <m:t>Spp</m:t>
              </m:r>
            </m:e>
            <m:sub>
              <m:r>
                <m:t>i</m:t>
              </m:r>
            </m:sub>
          </m:sSub>
          <m:r>
            <m:rPr>
              <m:sty m:val="p"/>
            </m:rPr>
            <m:t>+</m:t>
          </m:r>
          <m:sSubSup>
            <m:e>
              <m:r>
                <m:t>β</m:t>
              </m:r>
            </m:e>
            <m:sub>
              <m:r>
                <m:rPr>
                  <m:nor/>
                  <m:sty m:val="p"/>
                </m:rPr>
                <m:t>spp:year</m:t>
              </m:r>
            </m:sub>
            <m:sup>
              <m:r>
                <m:t>μ</m:t>
              </m:r>
            </m:sup>
          </m:sSubSup>
          <m:d>
            <m:dPr>
              <m:begChr m:val="("/>
              <m:sepChr m:val=""/>
              <m:endChr m:val=")"/>
              <m:grow/>
            </m:dPr>
            <m:e>
              <m:sSub>
                <m:e>
                  <m:r>
                    <m:rPr>
                      <m:nor/>
                      <m:sty m:val="p"/>
                    </m:rPr>
                    <m:t>Spp</m:t>
                  </m:r>
                </m:e>
                <m:sub>
                  <m:r>
                    <m:t>i</m:t>
                  </m:r>
                </m:sub>
              </m:sSub>
              <m:r>
                <m:rPr>
                  <m:sty m:val="p"/>
                </m:rPr>
                <m:t>×</m:t>
              </m:r>
              <m:sSub>
                <m:e>
                  <m:r>
                    <m:rPr>
                      <m:nor/>
                      <m:sty m:val="p"/>
                    </m:rPr>
                    <m:t>Year</m:t>
                  </m:r>
                </m:e>
                <m:sub>
                  <m:r>
                    <m:t>i</m:t>
                  </m:r>
                </m:sub>
              </m:sSub>
            </m:e>
          </m:d>
          <m:r>
            <m:rPr>
              <m:sty m:val="p"/>
            </m:rPr>
            <m:t>+</m:t>
          </m:r>
          <m:sSub>
            <m:e>
              <m:r>
                <m:t>α</m:t>
              </m:r>
            </m:e>
            <m:sub>
              <m:r>
                <m:rPr>
                  <m:nor/>
                  <m:sty m:val="p"/>
                </m:rPr>
                <m:t>tree</m:t>
              </m:r>
              <m:d>
                <m:dPr>
                  <m:begChr m:val="["/>
                  <m:sepChr m:val=""/>
                  <m:endChr m:val="]"/>
                  <m:grow/>
                </m:dPr>
                <m:e>
                  <m:r>
                    <m:t>i</m:t>
                  </m:r>
                </m:e>
              </m:d>
            </m:sub>
          </m:sSub>
          <m:r>
            <m:rPr>
              <m:sty m:val="p"/>
            </m:rPr>
            <m:t>+</m:t>
          </m:r>
          <m:sSub>
            <m:e>
              <m:r>
                <m:t>α</m:t>
              </m:r>
            </m:e>
            <m:sub>
              <m:r>
                <m:rPr>
                  <m:nor/>
                  <m:sty m:val="p"/>
                </m:rPr>
                <m:t>macro</m:t>
              </m:r>
              <m:d>
                <m:dPr>
                  <m:begChr m:val="["/>
                  <m:sepChr m:val=""/>
                  <m:endChr m:val="]"/>
                  <m:grow/>
                </m:dPr>
                <m:e>
                  <m:r>
                    <m:t>i</m:t>
                  </m:r>
                </m:e>
              </m:d>
              <m:r>
                <m:rPr>
                  <m:sty m:val="p"/>
                </m:rPr>
                <m:t>,</m:t>
              </m:r>
              <m:r>
                <m:rPr>
                  <m:nor/>
                  <m:sty m:val="p"/>
                </m:rPr>
                <m:t>spp</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σ</m:t>
                  </m:r>
                </m:e>
                <m:sub>
                  <m:r>
                    <m:t>i</m:t>
                  </m:r>
                </m:sub>
              </m:sSub>
            </m:e>
          </m:d>
          <m:r>
            <m:rPr>
              <m:sty m:val="p"/>
            </m:rPr>
            <m:t>=</m:t>
          </m:r>
          <m:sSubSup>
            <m:e>
              <m:r>
                <m:t>β</m:t>
              </m:r>
            </m:e>
            <m:sub>
              <m:r>
                <m:t>0</m:t>
              </m:r>
            </m:sub>
            <m:sup>
              <m:r>
                <m:t>σ</m:t>
              </m:r>
            </m:sup>
          </m:sSubSup>
          <m:r>
            <m:rPr>
              <m:sty m:val="p"/>
            </m:rPr>
            <m:t>+</m:t>
          </m:r>
          <m:sSubSup>
            <m:e>
              <m:r>
                <m:t>β</m:t>
              </m:r>
            </m:e>
            <m:sub>
              <m:r>
                <m:rPr>
                  <m:nor/>
                  <m:sty m:val="p"/>
                </m:rPr>
                <m:t>trt</m:t>
              </m:r>
            </m:sub>
            <m:sup>
              <m:r>
                <m:t>σ</m:t>
              </m:r>
            </m:sup>
          </m:sSubSup>
          <m:r>
            <m:rPr>
              <m:sty m:val="p"/>
            </m:rPr>
            <m:t>⋅</m:t>
          </m:r>
          <m:sSub>
            <m:e>
              <m:r>
                <m:rPr>
                  <m:nor/>
                  <m:sty m:val="p"/>
                </m:rPr>
                <m:t>Trt</m:t>
              </m:r>
            </m:e>
            <m:sub>
              <m:r>
                <m:t>i</m:t>
              </m:r>
            </m:sub>
          </m:sSub>
          <m:r>
            <m:rPr>
              <m:sty m:val="p"/>
            </m:rPr>
            <m:t>+</m:t>
          </m:r>
          <m:sSubSup>
            <m:e>
              <m:r>
                <m:t>β</m:t>
              </m:r>
            </m:e>
            <m:sub>
              <m:r>
                <m:rPr>
                  <m:nor/>
                  <m:sty m:val="p"/>
                </m:rPr>
                <m:t>yr</m:t>
              </m:r>
            </m:sub>
            <m:sup>
              <m:r>
                <m:t>σ</m:t>
              </m:r>
            </m:sup>
          </m:sSubSup>
          <m:r>
            <m:rPr>
              <m:sty m:val="p"/>
            </m:rPr>
            <m:t>⋅</m:t>
          </m:r>
          <m:sSub>
            <m:e>
              <m:r>
                <m:rPr>
                  <m:nor/>
                  <m:sty m:val="p"/>
                </m:rPr>
                <m:t>Year</m:t>
              </m:r>
            </m:e>
            <m:sub>
              <m:r>
                <m:t>i</m:t>
              </m:r>
            </m:sub>
          </m:sSub>
          <m:r>
            <m:rPr>
              <m:sty m:val="p"/>
            </m:rPr>
            <m:t>+</m:t>
          </m:r>
          <m:sSubSup>
            <m:e>
              <m:r>
                <m:t>β</m:t>
              </m:r>
            </m:e>
            <m:sub>
              <m:r>
                <m:rPr>
                  <m:nor/>
                  <m:sty m:val="p"/>
                </m:rPr>
                <m:t>spp</m:t>
              </m:r>
            </m:sub>
            <m:sup>
              <m:r>
                <m:t>σ</m:t>
              </m:r>
            </m:sup>
          </m:sSubSup>
          <m:r>
            <m:rPr>
              <m:sty m:val="p"/>
            </m:rPr>
            <m:t>⋅</m:t>
          </m:r>
          <m:sSub>
            <m:e>
              <m:r>
                <m:rPr>
                  <m:nor/>
                  <m:sty m:val="p"/>
                </m:rPr>
                <m:t>Spp</m:t>
              </m:r>
            </m:e>
            <m:sub>
              <m:r>
                <m:t>i</m:t>
              </m:r>
            </m:sub>
          </m:sSub>
          <m:r>
            <m:rPr>
              <m:sty m:val="p"/>
            </m:rPr>
            <m:t>+</m:t>
          </m:r>
          <m:r>
            <m:rPr>
              <m:sty m:val="p"/>
            </m:rPr>
            <m:t>…</m:t>
          </m:r>
          <m:r>
            <m:rPr>
              <m:sty m:val="p"/>
            </m:rPr>
            <m:t>+</m:t>
          </m:r>
          <m:sSubSup>
            <m:e>
              <m:r>
                <m:t>β</m:t>
              </m:r>
            </m:e>
            <m:sub>
              <m:r>
                <m:rPr>
                  <m:nor/>
                  <m:sty m:val="p"/>
                </m:rPr>
                <m:t>3way</m:t>
              </m:r>
            </m:sub>
            <m:sup>
              <m:r>
                <m:t>σ</m:t>
              </m:r>
            </m:sup>
          </m:sSubSup>
          <m:d>
            <m:dPr>
              <m:begChr m:val="("/>
              <m:sepChr m:val=""/>
              <m:endChr m:val=")"/>
              <m:grow/>
            </m:dPr>
            <m:e>
              <m:sSub>
                <m:e>
                  <m:r>
                    <m:rPr>
                      <m:nor/>
                      <m:sty m:val="p"/>
                    </m:rPr>
                    <m:t>Trt</m:t>
                  </m:r>
                </m:e>
                <m:sub>
                  <m:r>
                    <m:t>i</m:t>
                  </m:r>
                </m:sub>
              </m:sSub>
              <m:r>
                <m:rPr>
                  <m:sty m:val="p"/>
                </m:rPr>
                <m:t>×</m:t>
              </m:r>
              <m:sSub>
                <m:e>
                  <m:r>
                    <m:rPr>
                      <m:nor/>
                      <m:sty m:val="p"/>
                    </m:rPr>
                    <m:t>Year</m:t>
                  </m:r>
                </m:e>
                <m:sub>
                  <m:r>
                    <m:t>i</m:t>
                  </m:r>
                </m:sub>
              </m:sSub>
              <m:r>
                <m:rPr>
                  <m:sty m:val="p"/>
                </m:rPr>
                <m:t>×</m:t>
              </m:r>
              <m:sSub>
                <m:e>
                  <m:r>
                    <m:rPr>
                      <m:nor/>
                      <m:sty m:val="p"/>
                    </m:rPr>
                    <m:t>Spp</m:t>
                  </m:r>
                </m:e>
                <m:sub>
                  <m:r>
                    <m:t>i</m:t>
                  </m:r>
                </m:sub>
              </m:sSub>
            </m:e>
          </m:d>
        </m:oMath>
      </m:oMathPara>
    </w:p>
    <w:p>
      <w:pPr>
        <w:pStyle w:val="FirstParagraph"/>
      </w:pPr>
      <m:oMathPara>
        <m:oMathParaPr>
          <m:jc m:val="center"/>
        </m:oMathParaPr>
        <m:oMath>
          <m:sSub>
            <m:e>
              <m:r>
                <m:t>α</m:t>
              </m:r>
            </m:e>
            <m:sub>
              <m:r>
                <m:rPr>
                  <m:nor/>
                  <m:sty m:val="p"/>
                </m:rPr>
                <m:t>tree</m:t>
              </m:r>
            </m:sub>
          </m:sSub>
          <m:r>
            <m:rPr>
              <m:sty m:val="p"/>
            </m:rPr>
            <m:t>∼</m:t>
          </m:r>
          <m:r>
            <m:t>N</m:t>
          </m:r>
          <m:d>
            <m:dPr>
              <m:begChr m:val="("/>
              <m:sepChr m:val=""/>
              <m:endChr m:val=")"/>
              <m:grow/>
            </m:dPr>
            <m:e>
              <m:r>
                <m:t>0</m:t>
              </m:r>
              <m:r>
                <m:rPr>
                  <m:sty m:val="p"/>
                </m:rPr>
                <m:t>,</m:t>
              </m:r>
              <m:sSubSup>
                <m:e>
                  <m:r>
                    <m:t>σ</m:t>
                  </m:r>
                </m:e>
                <m:sub>
                  <m:r>
                    <m:rPr>
                      <m:nor/>
                      <m:sty m:val="p"/>
                    </m:rPr>
                    <m:t>tree</m:t>
                  </m:r>
                </m:sub>
                <m:sup>
                  <m:r>
                    <m:t>2</m:t>
                  </m:r>
                </m:sup>
              </m:sSubSup>
            </m:e>
          </m:d>
        </m:oMath>
      </m:oMathPara>
    </w:p>
    <w:p>
      <w:pPr>
        <w:pStyle w:val="FirstParagraph"/>
      </w:pPr>
      <m:oMathPara>
        <m:oMathParaPr>
          <m:jc m:val="center"/>
        </m:oMathParaPr>
        <m:oMath>
          <m:sSub>
            <m:e>
              <m:r>
                <m:t>α</m:t>
              </m:r>
            </m:e>
            <m:sub>
              <m:r>
                <m:rPr>
                  <m:nor/>
                  <m:sty m:val="p"/>
                </m:rPr>
                <m:t>macro</m:t>
              </m:r>
              <m:r>
                <m:rPr>
                  <m:sty m:val="p"/>
                </m:rPr>
                <m:t>,</m:t>
              </m:r>
              <m:r>
                <m:rPr>
                  <m:nor/>
                  <m:sty m:val="p"/>
                </m:rPr>
                <m:t>spp</m:t>
              </m:r>
            </m:sub>
          </m:sSub>
          <m:r>
            <m:rPr>
              <m:sty m:val="p"/>
            </m:rPr>
            <m:t>=</m:t>
          </m:r>
          <m:d>
            <m:dPr>
              <m:begChr m:val="("/>
              <m:sepChr m:val=""/>
              <m:endChr m:val=")"/>
              <m:grow/>
            </m:dPr>
            <m:e>
              <m:m>
                <m:mPr>
                  <m:baseJc m:val="center"/>
                  <m:plcHide m:val="on"/>
                  <m:mcs>
                    <m:mc>
                      <m:mcPr>
                        <m:mcJc m:val="center"/>
                        <m:count m:val="1"/>
                      </m:mcPr>
                    </m:mc>
                  </m:mcs>
                </m:mPr>
                <m:mr>
                  <m:e>
                    <m:sSub>
                      <m:e>
                        <m:r>
                          <m:t>α</m:t>
                        </m:r>
                      </m:e>
                      <m:sub>
                        <m:sSub>
                          <m:e>
                            <m:r>
                              <m:rPr>
                                <m:nor/>
                                <m:sty m:val="p"/>
                              </m:rPr>
                              <m:t>macro</m:t>
                            </m:r>
                          </m:e>
                          <m:sub>
                            <m:r>
                              <m:t>1</m:t>
                            </m:r>
                          </m:sub>
                        </m:sSub>
                        <m:r>
                          <m:rPr>
                            <m:sty m:val="p"/>
                          </m:rPr>
                          <m:t>,</m:t>
                        </m:r>
                        <m:sSub>
                          <m:e>
                            <m:r>
                              <m:rPr>
                                <m:nor/>
                                <m:sty m:val="p"/>
                              </m:rPr>
                              <m:t>spp</m:t>
                            </m:r>
                          </m:e>
                          <m:sub>
                            <m:r>
                              <m:t>1</m:t>
                            </m:r>
                          </m:sub>
                        </m:sSub>
                      </m:sub>
                    </m:sSub>
                  </m:e>
                </m:mr>
                <m:mr>
                  <m:e>
                    <m:sSub>
                      <m:e>
                        <m:r>
                          <m:t>α</m:t>
                        </m:r>
                      </m:e>
                      <m:sub>
                        <m:sSub>
                          <m:e>
                            <m:r>
                              <m:rPr>
                                <m:nor/>
                                <m:sty m:val="p"/>
                              </m:rPr>
                              <m:t>macro</m:t>
                            </m:r>
                          </m:e>
                          <m:sub>
                            <m:r>
                              <m:t>1</m:t>
                            </m:r>
                          </m:sub>
                        </m:sSub>
                        <m:r>
                          <m:rPr>
                            <m:sty m:val="p"/>
                          </m:rPr>
                          <m:t>,</m:t>
                        </m:r>
                        <m:sSub>
                          <m:e>
                            <m:r>
                              <m:rPr>
                                <m:nor/>
                                <m:sty m:val="p"/>
                              </m:rPr>
                              <m:t>spp</m:t>
                            </m:r>
                          </m:e>
                          <m:sub>
                            <m:r>
                              <m:t>2</m:t>
                            </m:r>
                          </m:sub>
                        </m:sSub>
                      </m:sub>
                    </m:sSub>
                  </m:e>
                </m:mr>
                <m:mr>
                  <m:e>
                    <m:r>
                      <m:rPr>
                        <m:sty m:val="p"/>
                      </m:rPr>
                      <m:t>⋮</m:t>
                    </m:r>
                  </m:e>
                </m:mr>
                <m:mr>
                  <m:e>
                    <m:sSub>
                      <m:e>
                        <m:r>
                          <m:t>α</m:t>
                        </m:r>
                      </m:e>
                      <m:sub>
                        <m:sSub>
                          <m:e>
                            <m:r>
                              <m:rPr>
                                <m:nor/>
                                <m:sty m:val="p"/>
                              </m:rPr>
                              <m:t>macro</m:t>
                            </m:r>
                          </m:e>
                          <m:sub>
                            <m:r>
                              <m:t>j</m:t>
                            </m:r>
                          </m:sub>
                        </m:sSub>
                        <m:r>
                          <m:rPr>
                            <m:sty m:val="p"/>
                          </m:rPr>
                          <m:t>,</m:t>
                        </m:r>
                        <m:sSub>
                          <m:e>
                            <m:r>
                              <m:rPr>
                                <m:nor/>
                                <m:sty m:val="p"/>
                              </m:rPr>
                              <m:t>spp</m:t>
                            </m:r>
                          </m:e>
                          <m:sub>
                            <m:r>
                              <m:t>k</m:t>
                            </m:r>
                          </m:sub>
                        </m:sSub>
                      </m:sub>
                    </m:sSub>
                  </m:e>
                </m:mr>
              </m:m>
            </m:e>
          </m:d>
          <m:r>
            <m:rPr>
              <m:sty m:val="p"/>
            </m:rPr>
            <m:t>∼</m:t>
          </m:r>
          <m:r>
            <m:rPr>
              <m:sty m:val="p"/>
            </m:rPr>
            <m:t>N</m:t>
          </m:r>
          <m:d>
            <m:dPr>
              <m:begChr m:val="("/>
              <m:sepChr m:val=""/>
              <m:endChr m:val=")"/>
              <m:grow/>
            </m:dPr>
            <m:e>
              <m:r>
                <m:rPr>
                  <m:sty m:val="b"/>
                </m:rPr>
                <m:t>0</m:t>
              </m:r>
              <m:r>
                <m:rPr>
                  <m:sty m:val="p"/>
                </m:rPr>
                <m:t>,</m:t>
              </m:r>
              <m:sSub>
                <m:e>
                  <m:r>
                    <m:rPr>
                      <m:sty m:val="b"/>
                    </m:rPr>
                    <m:t>Σ</m:t>
                  </m:r>
                </m:e>
                <m:sub>
                  <m:r>
                    <m:rPr>
                      <m:nor/>
                      <m:sty m:val="p"/>
                    </m:rPr>
                    <m:t>macro</m:t>
                  </m:r>
                  <m:r>
                    <m:rPr>
                      <m:sty m:val="p"/>
                    </m:rPr>
                    <m:t>,</m:t>
                  </m:r>
                  <m:r>
                    <m:rPr>
                      <m:nor/>
                      <m:sty m:val="p"/>
                    </m:rPr>
                    <m:t>spp</m:t>
                  </m:r>
                </m:sub>
              </m:sSub>
            </m:e>
          </m:d>
        </m:oMath>
      </m:oMathPara>
    </w:p>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ayout w:type="fixed"/>
        <w:tblLook w:firstRow="0" w:lastRow="0" w:firstColumn="0" w:lastColumn="0" w:noHBand="0" w:noVBand="0" w:val="0000"/>
      </w:tblPr>
      <w:tblGrid>
        <w:gridCol w:w="7920"/>
      </w:tblGrid>
      <w:tr>
        <w:tc>
          <w:tcPr/>
          <w:bookmarkStart w:id="79"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4658"/>
              <w:tblLayout w:type="fixed"/>
              <w:tblLook w:firstRow="1" w:lastRow="0" w:firstColumn="0" w:lastColumn="0" w:noHBand="0" w:noVBand="0" w:val="0020"/>
            </w:tblPr>
            <w:tblGrid>
              <w:gridCol w:w="759"/>
              <w:gridCol w:w="1301"/>
              <w:gridCol w:w="1193"/>
              <w:gridCol w:w="867"/>
              <w:gridCol w:w="650"/>
              <w:gridCol w:w="1301"/>
              <w:gridCol w:w="1301"/>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Inf</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Inf</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Inf</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0.46</w:t>
                  </w:r>
                </w:p>
              </w:tc>
              <w:tc>
                <w:tcPr/>
                <w:p>
                  <w:pPr>
                    <w:pStyle w:val="Compac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ayout w:type="fixed"/>
        <w:tblLook w:firstRow="0" w:lastRow="0" w:firstColumn="0" w:lastColumn="0" w:noHBand="0" w:noVBand="0" w:val="0000"/>
      </w:tblPr>
      <w:tblGrid>
        <w:gridCol w:w="7920"/>
      </w:tblGrid>
      <w:tr>
        <w:tc>
          <w:tcPr/>
          <w:bookmarkStart w:id="84"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4375"/>
              <w:tblLayout w:type="fixed"/>
              <w:tblLook w:firstRow="1" w:lastRow="0" w:firstColumn="0" w:lastColumn="0" w:noHBand="0" w:noVBand="0" w:val="0020"/>
            </w:tblPr>
            <w:tblGrid>
              <w:gridCol w:w="770"/>
              <w:gridCol w:w="770"/>
              <w:gridCol w:w="1210"/>
              <w:gridCol w:w="88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LIDE</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SESE</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6"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m:oMathPara>
        <m:oMathParaPr>
          <m:jc m:val="center"/>
        </m:oMathParaPr>
        <m:oMath>
          <m:sSub>
            <m:e>
              <m:r>
                <m:t>Y</m:t>
              </m:r>
            </m:e>
            <m:sub>
              <m:r>
                <m:t>i</m:t>
              </m:r>
            </m:sub>
          </m:sSub>
          <m:r>
            <m:rPr>
              <m:sty m:val="p"/>
            </m:rPr>
            <m:t>∼</m:t>
          </m:r>
          <m:r>
            <m:rPr>
              <m:sty m:val="p"/>
            </m:rPr>
            <m:t>N</m:t>
          </m:r>
          <m:d>
            <m:dPr>
              <m:begChr m:val="("/>
              <m:sepChr m:val=""/>
              <m:endChr m:val=")"/>
              <m:grow/>
            </m:dPr>
            <m:e>
              <m:sSub>
                <m:e>
                  <m:r>
                    <m:t>μ</m:t>
                  </m:r>
                </m:e>
                <m:sub>
                  <m:r>
                    <m:t>i</m:t>
                  </m:r>
                </m:sub>
              </m:sSub>
              <m:r>
                <m:rPr>
                  <m:sty m:val="p"/>
                </m:rPr>
                <m:t>,</m:t>
              </m:r>
              <m:sSubSup>
                <m:e>
                  <m:r>
                    <m:t>σ</m:t>
                  </m:r>
                </m:e>
                <m:sub>
                  <m:r>
                    <m:t>i</m:t>
                  </m:r>
                </m:sub>
                <m:sup>
                  <m:r>
                    <m:t>2</m:t>
                  </m:r>
                </m:sup>
              </m:sSubSup>
            </m:e>
          </m:d>
        </m:oMath>
      </m:oMathPara>
    </w:p>
    <w:p>
      <w:pPr>
        <w:pStyle w:val="FirstParagraph"/>
      </w:pPr>
      <m:oMathPara>
        <m:oMathParaPr>
          <m:jc m:val="center"/>
        </m:oMathParaPr>
        <m:oMath>
          <m:r>
            <m:rPr>
              <m:sty m:val="p"/>
            </m:rPr>
            <m:t>log</m:t>
          </m:r>
          <m:d>
            <m:dPr>
              <m:begChr m:val="("/>
              <m:sepChr m:val=""/>
              <m:endChr m:val=")"/>
              <m:grow/>
            </m:dPr>
            <m:e>
              <m:sSub>
                <m:e>
                  <m:r>
                    <m:t>μ</m:t>
                  </m:r>
                </m:e>
                <m:sub>
                  <m:r>
                    <m:t>i</m:t>
                  </m:r>
                </m:sub>
              </m:sSub>
            </m:e>
          </m:d>
          <m:r>
            <m:rPr>
              <m:sty m:val="p"/>
            </m:rPr>
            <m:t>=</m:t>
          </m:r>
          <m:sSubSup>
            <m:e>
              <m:r>
                <m:t>β</m:t>
              </m:r>
            </m:e>
            <m:sub>
              <m:r>
                <m:t>0</m:t>
              </m:r>
            </m:sub>
            <m:sup>
              <m:r>
                <m:t>μ</m:t>
              </m:r>
            </m:sup>
          </m:sSubSup>
          <m:r>
            <m:rPr>
              <m:sty m:val="p"/>
            </m:rPr>
            <m:t>+</m:t>
          </m:r>
          <m:sSubSup>
            <m:e>
              <m:r>
                <m:t>β</m:t>
              </m:r>
            </m:e>
            <m:sub>
              <m:r>
                <m:rPr>
                  <m:nor/>
                  <m:sty m:val="p"/>
                </m:rPr>
                <m:t>trt</m:t>
              </m:r>
            </m:sub>
            <m:sup>
              <m:r>
                <m:t>μ</m:t>
              </m:r>
            </m:sup>
          </m:sSubSup>
          <m:r>
            <m:rPr>
              <m:sty m:val="p"/>
            </m:rPr>
            <m:t>⋅</m:t>
          </m:r>
          <m:sSub>
            <m:e>
              <m:r>
                <m:rPr>
                  <m:nor/>
                  <m:sty m:val="p"/>
                </m:rPr>
                <m:t>Trt</m:t>
              </m:r>
            </m:e>
            <m:sub>
              <m:r>
                <m:t>i</m:t>
              </m:r>
            </m:sub>
          </m:sSub>
          <m:r>
            <m:rPr>
              <m:sty m:val="p"/>
            </m:rPr>
            <m:t>+</m:t>
          </m:r>
          <m:sSubSup>
            <m:e>
              <m:r>
                <m:t>β</m:t>
              </m:r>
            </m:e>
            <m:sub>
              <m:r>
                <m:rPr>
                  <m:nor/>
                  <m:sty m:val="p"/>
                </m:rPr>
                <m:t>spp</m:t>
              </m:r>
            </m:sub>
            <m:sup>
              <m:r>
                <m:t>μ</m:t>
              </m:r>
            </m:sup>
          </m:sSubSup>
          <m:r>
            <m:rPr>
              <m:sty m:val="p"/>
            </m:rPr>
            <m:t>⋅</m:t>
          </m:r>
          <m:sSub>
            <m:e>
              <m:r>
                <m:rPr>
                  <m:nor/>
                  <m:sty m:val="p"/>
                </m:rPr>
                <m:t>Spp</m:t>
              </m:r>
            </m:e>
            <m:sub>
              <m:r>
                <m:t>i</m:t>
              </m:r>
            </m:sub>
          </m:sSub>
          <m:r>
            <m:rPr>
              <m:sty m:val="p"/>
            </m:rPr>
            <m:t>+</m:t>
          </m:r>
          <m:sSub>
            <m:e>
              <m:r>
                <m:t>α</m:t>
              </m:r>
            </m:e>
            <m:sub>
              <m:r>
                <m:rPr>
                  <m:nor/>
                  <m:sty m:val="p"/>
                </m:rPr>
                <m:t>spp</m:t>
              </m:r>
              <m:d>
                <m:dPr>
                  <m:begChr m:val="["/>
                  <m:sepChr m:val=""/>
                  <m:endChr m:val="]"/>
                  <m:grow/>
                </m:dPr>
                <m:e>
                  <m:r>
                    <m:t>i</m:t>
                  </m:r>
                </m:e>
              </m:d>
              <m:r>
                <m:rPr>
                  <m:sty m:val="p"/>
                </m:rPr>
                <m:t>,</m:t>
              </m:r>
              <m:r>
                <m:rPr>
                  <m:nor/>
                  <m:sty m:val="p"/>
                </m:rPr>
                <m:t>macro</m:t>
              </m:r>
              <m:d>
                <m:dPr>
                  <m:begChr m:val="["/>
                  <m:sepChr m:val=""/>
                  <m:endChr m:val="]"/>
                  <m:grow/>
                </m:dPr>
                <m:e>
                  <m:r>
                    <m:t>i</m:t>
                  </m:r>
                </m:e>
              </m:d>
            </m:sub>
          </m:sSub>
        </m:oMath>
      </m:oMathPara>
    </w:p>
    <w:p>
      <w:pPr>
        <w:pStyle w:val="FirstParagraph"/>
      </w:pPr>
      <m:oMathPara>
        <m:oMathParaPr>
          <m:jc m:val="center"/>
        </m:oMathParaPr>
        <m:oMath>
          <m:r>
            <m:rPr>
              <m:sty m:val="p"/>
            </m:rPr>
            <m:t>log</m:t>
          </m:r>
          <m:d>
            <m:dPr>
              <m:begChr m:val="("/>
              <m:sepChr m:val=""/>
              <m:endChr m:val=")"/>
              <m:grow/>
            </m:dPr>
            <m:e>
              <m:sSub>
                <m:e>
                  <m:r>
                    <m:t>σ</m:t>
                  </m:r>
                </m:e>
                <m:sub>
                  <m:r>
                    <m:t>i</m:t>
                  </m:r>
                </m:sub>
              </m:sSub>
            </m:e>
          </m:d>
          <m:r>
            <m:rPr>
              <m:sty m:val="p"/>
            </m:rPr>
            <m:t>=</m:t>
          </m:r>
          <m:sSubSup>
            <m:e>
              <m:r>
                <m:t>β</m:t>
              </m:r>
            </m:e>
            <m:sub>
              <m:r>
                <m:t>0</m:t>
              </m:r>
            </m:sub>
            <m:sup>
              <m:r>
                <m:t>σ</m:t>
              </m:r>
            </m:sup>
          </m:sSubSup>
          <m:r>
            <m:rPr>
              <m:sty m:val="p"/>
            </m:rPr>
            <m:t>+</m:t>
          </m:r>
          <m:sSubSup>
            <m:e>
              <m:r>
                <m:t>β</m:t>
              </m:r>
            </m:e>
            <m:sub>
              <m:r>
                <m:rPr>
                  <m:nor/>
                  <m:sty m:val="p"/>
                </m:rPr>
                <m:t>trt</m:t>
              </m:r>
            </m:sub>
            <m:sup>
              <m:r>
                <m:t>σ</m:t>
              </m:r>
            </m:sup>
          </m:sSubSup>
          <m:r>
            <m:rPr>
              <m:sty m:val="p"/>
            </m:rPr>
            <m:t>⋅</m:t>
          </m:r>
          <m:sSub>
            <m:e>
              <m:r>
                <m:rPr>
                  <m:nor/>
                  <m:sty m:val="p"/>
                </m:rPr>
                <m:t>Trt</m:t>
              </m:r>
            </m:e>
            <m:sub>
              <m:r>
                <m:t>i</m:t>
              </m:r>
            </m:sub>
          </m:sSub>
          <m:r>
            <m:rPr>
              <m:sty m:val="p"/>
            </m:rPr>
            <m:t>+</m:t>
          </m:r>
          <m:sSubSup>
            <m:e>
              <m:r>
                <m:t>β</m:t>
              </m:r>
            </m:e>
            <m:sub>
              <m:r>
                <m:rPr>
                  <m:nor/>
                  <m:sty m:val="p"/>
                </m:rPr>
                <m:t>spp</m:t>
              </m:r>
            </m:sub>
            <m:sup>
              <m:r>
                <m:t>σ</m:t>
              </m:r>
            </m:sup>
          </m:sSubSup>
          <m:r>
            <m:rPr>
              <m:sty m:val="p"/>
            </m:rPr>
            <m:t>⋅</m:t>
          </m:r>
          <m:sSub>
            <m:e>
              <m:r>
                <m:rPr>
                  <m:nor/>
                  <m:sty m:val="p"/>
                </m:rPr>
                <m:t>Spp</m:t>
              </m:r>
            </m:e>
            <m:sub>
              <m:r>
                <m:t>i</m:t>
              </m:r>
            </m:sub>
          </m:sSub>
          <m:r>
            <m:rPr>
              <m:sty m:val="p"/>
            </m:rPr>
            <m:t>+</m:t>
          </m:r>
          <m:sSubSup>
            <m:e>
              <m:r>
                <m:t>β</m:t>
              </m:r>
            </m:e>
            <m:sub>
              <m:r>
                <m:rPr>
                  <m:nor/>
                  <m:sty m:val="p"/>
                </m:rPr>
                <m:t>trt:spp</m:t>
              </m:r>
            </m:sub>
            <m:sup>
              <m:r>
                <m:t>σ</m:t>
              </m:r>
            </m:sup>
          </m:sSubSup>
          <m:d>
            <m:dPr>
              <m:begChr m:val="("/>
              <m:sepChr m:val=""/>
              <m:endChr m:val=")"/>
              <m:grow/>
            </m:dPr>
            <m:e>
              <m:sSub>
                <m:e>
                  <m:r>
                    <m:rPr>
                      <m:nor/>
                      <m:sty m:val="p"/>
                    </m:rPr>
                    <m:t>Trt</m:t>
                  </m:r>
                </m:e>
                <m:sub>
                  <m:r>
                    <m:t>i</m:t>
                  </m:r>
                </m:sub>
              </m:sSub>
              <m:r>
                <m:rPr>
                  <m:sty m:val="p"/>
                </m:rPr>
                <m:t>×</m:t>
              </m:r>
              <m:sSub>
                <m:e>
                  <m:r>
                    <m:rPr>
                      <m:nor/>
                      <m:sty m:val="p"/>
                    </m:rPr>
                    <m:t>Spp</m:t>
                  </m:r>
                </m:e>
                <m:sub>
                  <m:r>
                    <m:t>i</m:t>
                  </m:r>
                </m:sub>
              </m:sSub>
            </m:e>
          </m:d>
        </m:oMath>
      </m:oMathPara>
    </w:p>
    <w:p>
      <w:pPr>
        <w:pStyle w:val="FirstParagraph"/>
      </w:pPr>
      <m:oMathPara>
        <m:oMathParaPr>
          <m:jc m:val="center"/>
        </m:oMathParaPr>
        <m:oMath>
          <m:sSub>
            <m:e>
              <m:r>
                <m:t>α</m:t>
              </m:r>
            </m:e>
            <m:sub>
              <m:r>
                <m:rPr>
                  <m:nor/>
                  <m:sty m:val="p"/>
                </m:rPr>
                <m:t>spp</m:t>
              </m:r>
              <m:r>
                <m:rPr>
                  <m:sty m:val="p"/>
                </m:rPr>
                <m:t>,</m:t>
              </m:r>
              <m:r>
                <m:rPr>
                  <m:nor/>
                  <m:sty m:val="p"/>
                </m:rPr>
                <m:t>macro</m:t>
              </m:r>
            </m:sub>
          </m:sSub>
          <m:r>
            <m:rPr>
              <m:sty m:val="p"/>
            </m:rPr>
            <m:t>=</m:t>
          </m:r>
          <m:d>
            <m:dPr>
              <m:begChr m:val="("/>
              <m:sepChr m:val=""/>
              <m:endChr m:val=")"/>
              <m:grow/>
            </m:dPr>
            <m:e>
              <m:m>
                <m:mPr>
                  <m:baseJc m:val="center"/>
                  <m:plcHide m:val="on"/>
                  <m:mcs>
                    <m:mc>
                      <m:mcPr>
                        <m:mcJc m:val="center"/>
                        <m:count m:val="1"/>
                      </m:mcPr>
                    </m:mc>
                  </m:mcs>
                </m:mPr>
                <m:mr>
                  <m:e>
                    <m:sSub>
                      <m:e>
                        <m:r>
                          <m:t>α</m:t>
                        </m:r>
                      </m:e>
                      <m:sub>
                        <m:sSub>
                          <m:e>
                            <m:r>
                              <m:rPr>
                                <m:nor/>
                                <m:sty m:val="p"/>
                              </m:rPr>
                              <m:t>spp</m:t>
                            </m:r>
                          </m:e>
                          <m:sub>
                            <m:r>
                              <m:t>1</m:t>
                            </m:r>
                          </m:sub>
                        </m:sSub>
                        <m:r>
                          <m:rPr>
                            <m:sty m:val="p"/>
                          </m:rPr>
                          <m:t>,</m:t>
                        </m:r>
                        <m:sSub>
                          <m:e>
                            <m:r>
                              <m:rPr>
                                <m:nor/>
                                <m:sty m:val="p"/>
                              </m:rPr>
                              <m:t>macro</m:t>
                            </m:r>
                          </m:e>
                          <m:sub>
                            <m:r>
                              <m:t>1</m:t>
                            </m:r>
                          </m:sub>
                        </m:sSub>
                      </m:sub>
                    </m:sSub>
                  </m:e>
                </m:mr>
                <m:mr>
                  <m:e>
                    <m:sSub>
                      <m:e>
                        <m:r>
                          <m:t>α</m:t>
                        </m:r>
                      </m:e>
                      <m:sub>
                        <m:sSub>
                          <m:e>
                            <m:r>
                              <m:rPr>
                                <m:nor/>
                                <m:sty m:val="p"/>
                              </m:rPr>
                              <m:t>spp</m:t>
                            </m:r>
                          </m:e>
                          <m:sub>
                            <m:r>
                              <m:t>1</m:t>
                            </m:r>
                          </m:sub>
                        </m:sSub>
                        <m:r>
                          <m:rPr>
                            <m:sty m:val="p"/>
                          </m:rPr>
                          <m:t>,</m:t>
                        </m:r>
                        <m:sSub>
                          <m:e>
                            <m:r>
                              <m:rPr>
                                <m:nor/>
                                <m:sty m:val="p"/>
                              </m:rPr>
                              <m:t>macro</m:t>
                            </m:r>
                          </m:e>
                          <m:sub>
                            <m:r>
                              <m:t>2</m:t>
                            </m:r>
                          </m:sub>
                        </m:sSub>
                      </m:sub>
                    </m:sSub>
                  </m:e>
                </m:mr>
                <m:mr>
                  <m:e>
                    <m:r>
                      <m:rPr>
                        <m:sty m:val="p"/>
                      </m:rPr>
                      <m:t>⋮</m:t>
                    </m:r>
                  </m:e>
                </m:mr>
                <m:mr>
                  <m:e>
                    <m:sSub>
                      <m:e>
                        <m:r>
                          <m:t>α</m:t>
                        </m:r>
                      </m:e>
                      <m:sub>
                        <m:sSub>
                          <m:e>
                            <m:r>
                              <m:rPr>
                                <m:nor/>
                                <m:sty m:val="p"/>
                              </m:rPr>
                              <m:t>spp</m:t>
                            </m:r>
                          </m:e>
                          <m:sub>
                            <m:r>
                              <m:t>j</m:t>
                            </m:r>
                          </m:sub>
                        </m:sSub>
                        <m:r>
                          <m:rPr>
                            <m:sty m:val="p"/>
                          </m:rPr>
                          <m:t>,</m:t>
                        </m:r>
                        <m:sSub>
                          <m:e>
                            <m:r>
                              <m:rPr>
                                <m:nor/>
                                <m:sty m:val="p"/>
                              </m:rPr>
                              <m:t>macro</m:t>
                            </m:r>
                          </m:e>
                          <m:sub>
                            <m:r>
                              <m:t>k</m:t>
                            </m:r>
                          </m:sub>
                        </m:sSub>
                      </m:sub>
                    </m:sSub>
                  </m:e>
                </m:mr>
              </m:m>
            </m:e>
          </m:d>
          <m:r>
            <m:rPr>
              <m:sty m:val="p"/>
            </m:rPr>
            <m:t>∼</m:t>
          </m:r>
          <m:r>
            <m:rPr>
              <m:sty m:val="p"/>
            </m:rPr>
            <m:t>N</m:t>
          </m:r>
          <m:d>
            <m:dPr>
              <m:begChr m:val="("/>
              <m:sepChr m:val=""/>
              <m:endChr m:val=")"/>
              <m:grow/>
            </m:dPr>
            <m:e>
              <m:r>
                <m:rPr>
                  <m:sty m:val="b"/>
                </m:rPr>
                <m:t>0</m:t>
              </m:r>
              <m:r>
                <m:rPr>
                  <m:sty m:val="p"/>
                </m:rPr>
                <m:t>,</m:t>
              </m:r>
              <m:sSub>
                <m:e>
                  <m:r>
                    <m:rPr>
                      <m:sty m:val="b"/>
                    </m:rPr>
                    <m:t>Σ</m:t>
                  </m:r>
                </m:e>
                <m:sub>
                  <m:r>
                    <m:rPr>
                      <m:nor/>
                      <m:sty m:val="p"/>
                    </m:rPr>
                    <m:t>spp</m:t>
                  </m:r>
                  <m:r>
                    <m:rPr>
                      <m:sty m:val="p"/>
                    </m:rPr>
                    <m:t>,</m:t>
                  </m:r>
                  <m:r>
                    <m:rPr>
                      <m:nor/>
                      <m:sty m:val="p"/>
                    </m:rPr>
                    <m:t>macro</m:t>
                  </m:r>
                </m:sub>
              </m:sSub>
            </m:e>
          </m:d>
        </m:oMath>
      </m:oMathPara>
    </w:p>
    <w:p>
      <w:pPr>
        <w:pStyle w:val="Compact"/>
        <w:numPr>
          <w:ilvl w:val="0"/>
          <w:numId w:val="1004"/>
        </w:numPr>
      </w:pPr>
      <m:oMath>
        <m:sSub>
          <m:e>
            <m:r>
              <m:t>Y</m:t>
            </m:r>
          </m:e>
          <m:sub>
            <m:r>
              <m:t>i</m:t>
            </m:r>
          </m:sub>
        </m:sSub>
      </m:oMath>
      <w:r>
        <w:t xml:space="preserve">: Height at year 10 for tree</w:t>
      </w:r>
      <w:r>
        <w:t xml:space="preserve"> </w:t>
      </w:r>
      <m:oMath>
        <m:r>
          <m:t>i</m:t>
        </m:r>
      </m:oMath>
      <w:r>
        <w:t xml:space="preserve">.</w:t>
      </w:r>
    </w:p>
    <w:p>
      <w:pPr>
        <w:pStyle w:val="Compact"/>
        <w:numPr>
          <w:ilvl w:val="0"/>
          <w:numId w:val="1004"/>
        </w:numPr>
      </w:pPr>
      <m:oMath>
        <m:sSub>
          <m:e>
            <m:r>
              <m:t>μ</m:t>
            </m:r>
          </m:e>
          <m:sub>
            <m:r>
              <m:t>i</m:t>
            </m:r>
          </m:sub>
        </m:sSub>
      </m:oMath>
      <w:r>
        <w:t xml:space="preserve">: Mean height at year 10 for tree</w:t>
      </w:r>
      <w:r>
        <w:t xml:space="preserve"> </w:t>
      </w:r>
      <m:oMath>
        <m:r>
          <m:t>i</m:t>
        </m:r>
      </m:oMath>
      <w:r>
        <w:t xml:space="preserve">.</w:t>
      </w:r>
    </w:p>
    <w:p>
      <w:pPr>
        <w:pStyle w:val="Compact"/>
        <w:numPr>
          <w:ilvl w:val="0"/>
          <w:numId w:val="1004"/>
        </w:numPr>
      </w:pPr>
      <m:oMath>
        <m:sSubSup>
          <m:e>
            <m:r>
              <m:t>σ</m:t>
            </m:r>
          </m:e>
          <m:sub>
            <m:r>
              <m:t>i</m:t>
            </m:r>
          </m:sub>
          <m:sup>
            <m:r>
              <m:t>2</m:t>
            </m:r>
          </m:sup>
        </m:sSubSup>
      </m:oMath>
      <w:r>
        <w:t xml:space="preserve">: Variance of height at year 10 for tree</w:t>
      </w:r>
      <w:r>
        <w:t xml:space="preserve"> </w:t>
      </w:r>
      <m:oMath>
        <m:r>
          <m:t>i</m:t>
        </m:r>
      </m:oMath>
      <w:r>
        <w:t xml:space="preserve">.</w:t>
      </w:r>
    </w:p>
    <w:p>
      <w:pPr>
        <w:pStyle w:val="Compact"/>
        <w:numPr>
          <w:ilvl w:val="0"/>
          <w:numId w:val="1004"/>
        </w:numPr>
      </w:pPr>
      <m:oMath>
        <m:sSub>
          <m:e>
            <m:r>
              <m:t>α</m:t>
            </m:r>
          </m:e>
          <m:sub>
            <m:r>
              <m:rPr>
                <m:nor/>
                <m:sty m:val="p"/>
              </m:rPr>
              <m:t>macro</m:t>
            </m:r>
            <m:r>
              <m:rPr>
                <m:sty m:val="p"/>
              </m:rPr>
              <m:t>,</m:t>
            </m:r>
            <m:r>
              <m:rPr>
                <m:nor/>
                <m:sty m:val="p"/>
              </m:rPr>
              <m:t>spp</m:t>
            </m:r>
          </m:sub>
        </m:sSub>
      </m:oMath>
      <w:r>
        <w:t xml:space="preserve">: Random effect for species, co-varying</w:t>
      </w:r>
      <w:r>
        <w:t xml:space="preserve"> </w:t>
      </w:r>
      <w:r>
        <w:t xml:space="preserve">within macro plot.</w:t>
      </w:r>
    </w:p>
    <w:p>
      <w:pPr>
        <w:pStyle w:val="Compact"/>
        <w:numPr>
          <w:ilvl w:val="0"/>
          <w:numId w:val="1004"/>
        </w:numPr>
      </w:pPr>
      <m:oMath>
        <m:sSub>
          <m:e>
            <m:r>
              <m:rPr>
                <m:sty m:val="b"/>
              </m:rPr>
              <m:t>Σ</m:t>
            </m:r>
          </m:e>
          <m:sub>
            <m:r>
              <m:rPr>
                <m:nor/>
                <m:sty m:val="p"/>
              </m:rPr>
              <m:t>macro</m:t>
            </m:r>
            <m:r>
              <m:rPr>
                <m:sty m:val="p"/>
              </m:rPr>
              <m:t>,</m:t>
            </m:r>
            <m:r>
              <m:rPr>
                <m:nor/>
                <m:sty m:val="p"/>
              </m:rPr>
              <m:t>spp</m:t>
            </m:r>
          </m:sub>
        </m:sSub>
      </m:oMath>
      <w:r>
        <w:t xml:space="preserve">: Unstructured variance-covariance matrix for species</w:t>
      </w:r>
      <w:r>
        <w:t xml:space="preserve"> </w:t>
      </w:r>
      <w:r>
        <w:t xml:space="preserve">within macro plot.</w:t>
      </w:r>
    </w:p>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ayout w:type="fixed"/>
        <w:tblLook w:firstRow="0" w:lastRow="0" w:firstColumn="0" w:lastColumn="0" w:noHBand="0" w:noVBand="0" w:val="0000"/>
      </w:tblPr>
      <w:tblGrid>
        <w:gridCol w:w="7920"/>
      </w:tblGrid>
      <w:tr>
        <w:tc>
          <w:tcPr/>
          <w:bookmarkStart w:id="91"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4306"/>
              <w:tblLayout w:type="fixed"/>
              <w:tblLook w:firstRow="1" w:lastRow="0" w:firstColumn="0" w:lastColumn="0" w:noHBand="0" w:noVBand="0" w:val="0020"/>
            </w:tblPr>
            <w:tblGrid>
              <w:gridCol w:w="770"/>
              <w:gridCol w:w="770"/>
              <w:gridCol w:w="1210"/>
              <w:gridCol w:w="77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Inf</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Inf</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5.2</w:t>
                  </w:r>
                </w:p>
              </w:tc>
              <w:tc>
                <w:tcPr/>
                <w:p>
                  <w:pPr>
                    <w:pStyle w:val="Compact"/>
                    <w:jc w:val="center"/>
                  </w:pPr>
                  <w:r>
                    <w:t xml:space="preserve">7.4</w:t>
                  </w:r>
                </w:p>
              </w:tc>
            </w:tr>
          </w:tbl>
          <w:bookmarkEnd w:id="9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3611"/>
              <w:tblLayout w:type="fixed"/>
              <w:tblLook w:firstRow="1" w:lastRow="0" w:firstColumn="0" w:lastColumn="0" w:noHBand="0" w:noVBand="0" w:val="0020"/>
            </w:tblPr>
            <w:tblGrid>
              <w:gridCol w:w="770"/>
              <w:gridCol w:w="1210"/>
              <w:gridCol w:w="121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LIDE</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LIDE</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LIDE</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LIDE</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0.95</w:t>
                  </w:r>
                </w:p>
              </w:tc>
            </w:tr>
            <w:tr>
              <w:tc>
                <w:tcPr/>
                <w:p>
                  <w:pPr>
                    <w:pStyle w:val="Compact"/>
                    <w:jc w:val="center"/>
                  </w:pPr>
                  <w:r>
                    <w:t xml:space="preserve">SESE</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SESE</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SESE</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SESE</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Inf</w:t>
                  </w:r>
                </w:p>
              </w:tc>
              <w:tc>
                <w:tcPr/>
                <w:p>
                  <w:pPr>
                    <w:pStyle w:val="Compac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zeros,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tbl-fuel-pre-pct-mod"/>
          <w:p>
            <w:pPr>
              <w:jc w:val="center"/>
            </w:pPr>
            <w:pPr>
              <w:jc w:val="left"/>
              <w:spacing w:before="200"/>
              <w:pStyle w:val="ImageCaption"/>
            </w:pPr>
            <w:r>
              <w:t xml:space="preserve">Table 3.9: Model specifications for six fuel classes before pct.</w:t>
            </w:r>
          </w:p>
          <w:tbl>
            <w:tblPr>
              <w:tblStyle w:val="Table"/>
              <w:tblW w:type="pct" w:w="4843"/>
              <w:tblLayout w:type="fixed"/>
              <w:tblLook w:firstRow="1" w:lastRow="0" w:firstColumn="0" w:lastColumn="0" w:noHBand="0" w:noVBand="0" w:val="0020"/>
            </w:tblPr>
            <w:tblGrid>
              <w:gridCol w:w="997"/>
              <w:gridCol w:w="561"/>
              <w:gridCol w:w="436"/>
              <w:gridCol w:w="3429"/>
              <w:gridCol w:w="1184"/>
              <w:gridCol w:w="1060"/>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ayout w:type="fixed"/>
        <w:tblLook w:firstRow="0" w:lastRow="0" w:firstColumn="0" w:lastColumn="0" w:noHBand="0" w:noVBand="0" w:val="0000"/>
      </w:tblPr>
      <w:tblGrid>
        <w:gridCol w:w="7920"/>
      </w:tblGrid>
      <w:tr>
        <w:tc>
          <w:tcPr/>
          <w:bookmarkStart w:id="100"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684"/>
              <w:tblLayout w:type="fixed"/>
              <w:tblLook w:firstRow="1" w:lastRow="0" w:firstColumn="0" w:lastColumn="0" w:noHBand="0" w:noVBand="0" w:val="0020"/>
            </w:tblPr>
            <w:tblGrid>
              <w:gridCol w:w="1303"/>
              <w:gridCol w:w="1203"/>
              <w:gridCol w:w="1102"/>
              <w:gridCol w:w="802"/>
              <w:gridCol w:w="601"/>
              <w:gridCol w:w="1203"/>
              <w:gridCol w:w="1203"/>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Inf</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Inf</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Inf</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Inf</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Inf</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Inf</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Inf</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Inf</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Inf</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Inf</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Inf</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Inf</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Inf</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Inf</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Inf</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Inf</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Inf</w:t>
                  </w:r>
                </w:p>
              </w:tc>
              <w:tc>
                <w:tcPr/>
                <w:p>
                  <w:pPr>
                    <w:pStyle w:val="Compact"/>
                    <w:jc w:val="center"/>
                  </w:pPr>
                  <w:r>
                    <w:t xml:space="preserve">8.4</w:t>
                  </w:r>
                </w:p>
              </w:tc>
              <w:tc>
                <w:tcPr/>
                <w:p>
                  <w:pPr>
                    <w:pStyle w:val="Compact"/>
                    <w:jc w:val="center"/>
                  </w:pPr>
                  <w:r>
                    <w:t xml:space="preserve">25.32</w:t>
                  </w:r>
                </w:p>
              </w:tc>
            </w:tr>
          </w:tbl>
          <w:bookmarkEnd w:id="1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4097"/>
              <w:tblLayout w:type="fixed"/>
              <w:tblLook w:firstRow="1" w:lastRow="0" w:firstColumn="0" w:lastColumn="0" w:noHBand="0" w:noVBand="0" w:val="0020"/>
            </w:tblPr>
            <w:tblGrid>
              <w:gridCol w:w="143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0.033</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Inf</w:t>
                  </w:r>
                </w:p>
              </w:tc>
              <w:tc>
                <w:tcPr/>
                <w:p>
                  <w:pPr>
                    <w:pStyle w:val="Compact"/>
                    <w:jc w:val="center"/>
                  </w:pPr>
                  <w:r>
                    <w:t xml:space="preserve">0.054</w:t>
                  </w:r>
                </w:p>
              </w:tc>
            </w:tr>
            <w:tr>
              <w:tc>
                <w:tcPr/>
                <w:p>
                  <w:pPr>
                    <w:pStyle w:val="Compact"/>
                    <w:jc w:val="center"/>
                  </w:pPr>
                  <w:r>
                    <w:t xml:space="preserve">dufflitter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Inf</w:t>
                  </w:r>
                </w:p>
              </w:tc>
              <w:tc>
                <w:tcPr/>
                <w:p>
                  <w:pPr>
                    <w:pStyle w:val="Compact"/>
                    <w:jc w:val="center"/>
                  </w:pPr>
                  <w:r>
                    <w:t xml:space="preserve">0.09</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0.115</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0.119</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Inf</w:t>
                  </w:r>
                </w:p>
              </w:tc>
              <w:tc>
                <w:tcPr/>
                <w:p>
                  <w:pPr>
                    <w:pStyle w:val="Compact"/>
                    <w:jc w:val="center"/>
                  </w:pPr>
                  <w:r>
                    <w:t xml:space="preserve">0.242</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0.334</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Inf</w:t>
                  </w:r>
                </w:p>
              </w:tc>
              <w:tc>
                <w:tcPr/>
                <w:p>
                  <w:pPr>
                    <w:pStyle w:val="Compact"/>
                    <w:jc w:val="center"/>
                  </w:pPr>
                  <w:r>
                    <w:t xml:space="preserve">0.353</w:t>
                  </w:r>
                </w:p>
              </w:tc>
            </w:tr>
            <w:tr>
              <w:tc>
                <w:tcPr/>
                <w:p>
                  <w:pPr>
                    <w:pStyle w:val="Compact"/>
                    <w:jc w:val="center"/>
                  </w:pPr>
                  <w:r>
                    <w:t xml:space="preserve">dufflitter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Inf</w:t>
                  </w:r>
                </w:p>
              </w:tc>
              <w:tc>
                <w:tcPr/>
                <w:p>
                  <w:pPr>
                    <w:pStyle w:val="Compact"/>
                    <w:jc w:val="center"/>
                  </w:pPr>
                  <w:r>
                    <w:t xml:space="preserve">0.463</w:t>
                  </w:r>
                </w:p>
              </w:tc>
            </w:tr>
            <w:tr>
              <w:tc>
                <w:tcPr/>
                <w:p>
                  <w:pPr>
                    <w:pStyle w:val="Compact"/>
                    <w:jc w:val="center"/>
                  </w:pPr>
                  <w:r>
                    <w:t xml:space="preserve">dufflitter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Inf</w:t>
                  </w:r>
                </w:p>
              </w:tc>
              <w:tc>
                <w:tcPr/>
                <w:p>
                  <w:pPr>
                    <w:pStyle w:val="Compact"/>
                    <w:jc w:val="center"/>
                  </w:pPr>
                  <w:r>
                    <w:t xml:space="preserve">0.497</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Inf</w:t>
                  </w:r>
                </w:p>
              </w:tc>
              <w:tc>
                <w:tcPr/>
                <w:p>
                  <w:pPr>
                    <w:pStyle w:val="Compact"/>
                    <w:jc w:val="center"/>
                  </w:pPr>
                  <w:r>
                    <w:t xml:space="preserve">0.555</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Inf</w:t>
                  </w:r>
                </w:p>
              </w:tc>
              <w:tc>
                <w:tcPr/>
                <w:p>
                  <w:pPr>
                    <w:pStyle w:val="Compact"/>
                    <w:jc w:val="center"/>
                  </w:pPr>
                  <w:r>
                    <w:t xml:space="preserve">0.671</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Inf</w:t>
                  </w:r>
                </w:p>
              </w:tc>
              <w:tc>
                <w:tcPr/>
                <w:p>
                  <w:pPr>
                    <w:pStyle w:val="Compact"/>
                    <w:jc w:val="center"/>
                  </w:pPr>
                  <w:r>
                    <w:t xml:space="preserve">0.679</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Inf</w:t>
                  </w:r>
                </w:p>
              </w:tc>
              <w:tc>
                <w:tcPr/>
                <w:p>
                  <w:pPr>
                    <w:pStyle w:val="Compact"/>
                    <w:jc w:val="center"/>
                  </w:pPr>
                  <w:r>
                    <w:t xml:space="preserve">0.71</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Inf</w:t>
                  </w:r>
                </w:p>
              </w:tc>
              <w:tc>
                <w:tcPr/>
                <w:p>
                  <w:pPr>
                    <w:pStyle w:val="Compact"/>
                    <w:jc w:val="center"/>
                  </w:pPr>
                  <w:r>
                    <w:t xml:space="preserve">0.715</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0.748</w:t>
                  </w:r>
                </w:p>
              </w:tc>
            </w:tr>
            <w:tr>
              <w:tc>
                <w:tcPr/>
                <w:p>
                  <w:pPr>
                    <w:pStyle w:val="Compact"/>
                    <w:jc w:val="center"/>
                  </w:pPr>
                  <w:r>
                    <w:t xml:space="preserve">dufflitter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Inf</w:t>
                  </w:r>
                </w:p>
              </w:tc>
              <w:tc>
                <w:tcPr/>
                <w:p>
                  <w:pPr>
                    <w:pStyle w:val="Compact"/>
                    <w:jc w:val="center"/>
                  </w:pPr>
                  <w:r>
                    <w:t xml:space="preserve">0.755</w:t>
                  </w:r>
                </w:p>
              </w:tc>
            </w:tr>
            <w:tr>
              <w:tc>
                <w:tcPr/>
                <w:p>
                  <w:pPr>
                    <w:pStyle w:val="Compact"/>
                    <w:jc w:val="center"/>
                  </w:pPr>
                  <w:r>
                    <w:t xml:space="preserve">dufflitter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Inf</w:t>
                  </w:r>
                </w:p>
              </w:tc>
              <w:tc>
                <w:tcPr/>
                <w:p>
                  <w:pPr>
                    <w:pStyle w:val="Compact"/>
                    <w:jc w:val="center"/>
                  </w:pPr>
                  <w:r>
                    <w:t xml:space="preserve">0.786</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Inf</w:t>
                  </w:r>
                </w:p>
              </w:tc>
              <w:tc>
                <w:tcPr/>
                <w:p>
                  <w:pPr>
                    <w:pStyle w:val="Compact"/>
                    <w:jc w:val="center"/>
                  </w:pPr>
                  <w:r>
                    <w:t xml:space="preserve">0.795</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Inf</w:t>
                  </w:r>
                </w:p>
              </w:tc>
              <w:tc>
                <w:tcPr/>
                <w:p>
                  <w:pPr>
                    <w:pStyle w:val="Compact"/>
                    <w:jc w:val="center"/>
                  </w:pPr>
                  <w:r>
                    <w:t xml:space="preserve">0.802</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0.809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Inf</w:t>
                  </w:r>
                </w:p>
              </w:tc>
              <w:tc>
                <w:tcPr/>
                <w:p>
                  <w:pPr>
                    <w:pStyle w:val="Compact"/>
                    <w:jc w:val="center"/>
                  </w:pPr>
                  <w:r>
                    <w:t xml:space="preserve">0.873</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0.889</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Inf</w:t>
                  </w:r>
                </w:p>
              </w:tc>
              <w:tc>
                <w:tcPr/>
                <w:p>
                  <w:pPr>
                    <w:pStyle w:val="Compact"/>
                    <w:jc w:val="center"/>
                  </w:pPr>
                  <w:r>
                    <w:t xml:space="preserve">0.896</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Inf</w:t>
                  </w:r>
                </w:p>
              </w:tc>
              <w:tc>
                <w:tcPr/>
                <w:p>
                  <w:pPr>
                    <w:pStyle w:val="Compact"/>
                    <w:jc w:val="center"/>
                  </w:pPr>
                  <w:r>
                    <w:t xml:space="preserve">0.902</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Inf</w:t>
                  </w:r>
                </w:p>
              </w:tc>
              <w:tc>
                <w:tcPr/>
                <w:p>
                  <w:pPr>
                    <w:pStyle w:val="Compact"/>
                    <w:jc w:val="center"/>
                  </w:pPr>
                  <w:r>
                    <w:t xml:space="preserve">0.924</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Inf</w:t>
                  </w:r>
                </w:p>
              </w:tc>
              <w:tc>
                <w:tcPr/>
                <w:p>
                  <w:pPr>
                    <w:pStyle w:val="Compact"/>
                    <w:jc w:val="center"/>
                  </w:pPr>
                  <w:r>
                    <w:t xml:space="preserve">0.94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Inf</w:t>
                  </w:r>
                </w:p>
              </w:tc>
              <w:tc>
                <w:tcPr/>
                <w:p>
                  <w:pPr>
                    <w:pStyle w:val="Compact"/>
                    <w:jc w:val="center"/>
                  </w:pPr>
                  <w:r>
                    <w:t xml:space="preserve">0.945</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Inf</w:t>
                  </w:r>
                </w:p>
              </w:tc>
              <w:tc>
                <w:tcPr/>
                <w:p>
                  <w:pPr>
                    <w:pStyle w:val="Compact"/>
                    <w:jc w:val="center"/>
                  </w:pPr>
                  <w:r>
                    <w:t xml:space="preserve">0.959</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0.96</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Inf</w:t>
                  </w:r>
                </w:p>
              </w:tc>
              <w:tc>
                <w:tcPr/>
                <w:p>
                  <w:pPr>
                    <w:pStyle w:val="Compact"/>
                    <w:jc w:val="center"/>
                  </w:pPr>
                  <w:r>
                    <w:t xml:space="preserve">0.963</w:t>
                  </w:r>
                </w:p>
              </w:tc>
            </w:tr>
            <w:tr>
              <w:tc>
                <w:tcPr/>
                <w:p>
                  <w:pPr>
                    <w:pStyle w:val="Compact"/>
                    <w:jc w:val="center"/>
                  </w:pPr>
                  <w:r>
                    <w:t xml:space="preserve">dufflitter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Inf</w:t>
                  </w:r>
                </w:p>
              </w:tc>
              <w:tc>
                <w:tcPr/>
                <w:p>
                  <w:pPr>
                    <w:pStyle w:val="Compact"/>
                    <w:jc w:val="center"/>
                  </w:pPr>
                  <w:r>
                    <w:t xml:space="preserve">0.964</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Inf</w:t>
                  </w:r>
                </w:p>
              </w:tc>
              <w:tc>
                <w:tcPr/>
                <w:p>
                  <w:pPr>
                    <w:pStyle w:val="Compact"/>
                    <w:jc w:val="center"/>
                  </w:pPr>
                  <w:r>
                    <w:t xml:space="preserve">0.998</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Inf</w:t>
                  </w:r>
                </w:p>
              </w:tc>
              <w:tc>
                <w:tcPr/>
                <w:p>
                  <w:pPr>
                    <w:pStyle w:val="Compact"/>
                    <w:jc w:val="center"/>
                  </w:pPr>
                  <w:r>
                    <w:t xml:space="preserve">0.999</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Inf</w:t>
                  </w:r>
                </w:p>
              </w:tc>
              <w:tc>
                <w:tcPr/>
                <w:p>
                  <w:pPr>
                    <w:pStyle w:val="Compact"/>
                    <w:jc w:val="center"/>
                  </w:pPr>
                  <w:r>
                    <w:t xml:space="preserve">1</w:t>
                  </w: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4671"/>
              <w:tblLayout w:type="fixed"/>
              <w:tblLook w:firstRow="1" w:lastRow="0" w:firstColumn="0" w:lastColumn="0" w:noHBand="0" w:noVBand="0" w:val="0020"/>
            </w:tblPr>
            <w:tblGrid>
              <w:gridCol w:w="1354"/>
              <w:gridCol w:w="1042"/>
              <w:gridCol w:w="1146"/>
              <w:gridCol w:w="729"/>
              <w:gridCol w:w="625"/>
              <w:gridCol w:w="1250"/>
              <w:gridCol w:w="1250"/>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overall</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Inf</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Inf</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Inf</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12.77</w:t>
                  </w:r>
                </w:p>
              </w:tc>
              <w:tc>
                <w:tcPr/>
                <w:p>
                  <w:pPr>
                    <w:pStyle w:val="Compac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After PCT, the response for all six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tbl-fuel-post-pct"/>
          <w:p>
            <w:pPr>
              <w:jc w:val="center"/>
            </w:pPr>
            <w:pPr>
              <w:jc w:val="left"/>
              <w:spacing w:before="200"/>
              <w:pStyle w:val="ImageCaption"/>
            </w:pPr>
            <w:r>
              <w:t xml:space="preserve">Table 3.13: Model specifications for six fuel classes after pct.</w:t>
            </w:r>
          </w:p>
          <w:tbl>
            <w:tblPr>
              <w:tblStyle w:val="Table"/>
              <w:tblW w:type="pct" w:w="4852"/>
              <w:tblLayout w:type="fixed"/>
              <w:tblLook w:firstRow="1" w:lastRow="0" w:firstColumn="0" w:lastColumn="0" w:noHBand="0" w:noVBand="0" w:val="0020"/>
            </w:tblPr>
            <w:tblGrid>
              <w:gridCol w:w="1408"/>
              <w:gridCol w:w="528"/>
              <w:gridCol w:w="410"/>
              <w:gridCol w:w="3226"/>
              <w:gridCol w:w="1114"/>
              <w:gridCol w:w="997"/>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104"/>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ayout w:type="fixed"/>
        <w:tblLook w:firstRow="0" w:lastRow="0" w:firstColumn="0" w:lastColumn="0" w:noHBand="0" w:noVBand="0" w:val="0000"/>
      </w:tblPr>
      <w:tblGrid>
        <w:gridCol w:w="7920"/>
      </w:tblGrid>
      <w:tr>
        <w:tc>
          <w:tcPr/>
          <w:bookmarkStart w:id="109"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675"/>
              <w:tblLayout w:type="fixed"/>
              <w:tblLook w:firstRow="1" w:lastRow="0" w:firstColumn="0" w:lastColumn="0" w:noHBand="0" w:noVBand="0" w:val="0020"/>
            </w:tblPr>
            <w:tblGrid>
              <w:gridCol w:w="1131"/>
              <w:gridCol w:w="1234"/>
              <w:gridCol w:w="1131"/>
              <w:gridCol w:w="822"/>
              <w:gridCol w:w="617"/>
              <w:gridCol w:w="1234"/>
              <w:gridCol w:w="1234"/>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Inf</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Inf</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Inf</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Inf</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Inf</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Inf</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Inf</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Inf</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Inf</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Inf</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Inf</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Inf</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Inf</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Inf</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veg_diff</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Inf</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veg_diff</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Inf</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veg_diff</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Inf</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veg_diff</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Inf</w:t>
                  </w:r>
                </w:p>
              </w:tc>
              <w:tc>
                <w:tcPr/>
                <w:p>
                  <w:pPr>
                    <w:pStyle w:val="Compact"/>
                    <w:jc w:val="center"/>
                  </w:pPr>
                  <w:r>
                    <w:t xml:space="preserve">5.91</w:t>
                  </w:r>
                </w:p>
              </w:tc>
              <w:tc>
                <w:tcPr/>
                <w:p>
                  <w:pPr>
                    <w:pStyle w:val="Compact"/>
                    <w:jc w:val="center"/>
                  </w:pPr>
                  <w:r>
                    <w:t xml:space="preserve">17.7</w:t>
                  </w:r>
                </w:p>
              </w:tc>
            </w:tr>
          </w:tbl>
          <w:bookmarkEnd w:id="10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0"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3958"/>
              <w:tblLayout w:type="fixed"/>
              <w:tblLook w:firstRow="1" w:lastRow="0" w:firstColumn="0" w:lastColumn="0" w:noHBand="0" w:noVBand="0" w:val="0020"/>
            </w:tblPr>
            <w:tblGrid>
              <w:gridCol w:w="121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Inf</w:t>
                  </w:r>
                </w:p>
              </w:tc>
              <w:tc>
                <w:tcPr/>
                <w:p>
                  <w:pPr>
                    <w:pStyle w:val="Compact"/>
                    <w:jc w:val="center"/>
                  </w:pPr>
                  <w:r>
                    <w:t xml:space="preserve">0.00026</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Inf</w:t>
                  </w:r>
                </w:p>
              </w:tc>
              <w:tc>
                <w:tcPr/>
                <w:p>
                  <w:pPr>
                    <w:pStyle w:val="Compact"/>
                    <w:jc w:val="center"/>
                  </w:pPr>
                  <w:r>
                    <w:t xml:space="preserve">0.00172</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Inf</w:t>
                  </w:r>
                </w:p>
              </w:tc>
              <w:tc>
                <w:tcPr/>
                <w:p>
                  <w:pPr>
                    <w:pStyle w:val="Compact"/>
                    <w:jc w:val="center"/>
                  </w:pPr>
                  <w:r>
                    <w:t xml:space="preserve">0.00585</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0.00889</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Inf</w:t>
                  </w:r>
                </w:p>
              </w:tc>
              <w:tc>
                <w:tcPr/>
                <w:p>
                  <w:pPr>
                    <w:pStyle w:val="Compact"/>
                    <w:jc w:val="center"/>
                  </w:pPr>
                  <w:r>
                    <w:t xml:space="preserve">0.00919</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Inf</w:t>
                  </w:r>
                </w:p>
              </w:tc>
              <w:tc>
                <w:tcPr/>
                <w:p>
                  <w:pPr>
                    <w:pStyle w:val="Compact"/>
                    <w:jc w:val="center"/>
                  </w:pPr>
                  <w:r>
                    <w:t xml:space="preserve">0.02573</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0.02637</w:t>
                  </w:r>
                </w:p>
              </w:tc>
            </w:tr>
            <w:tr>
              <w:tc>
                <w:tcPr/>
                <w:p>
                  <w:pPr>
                    <w:pStyle w:val="Compact"/>
                    <w:jc w:val="center"/>
                  </w:pPr>
                  <w:r>
                    <w:t xml:space="preserve">veg_diff</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Inf</w:t>
                  </w:r>
                </w:p>
              </w:tc>
              <w:tc>
                <w:tcPr/>
                <w:p>
                  <w:pPr>
                    <w:pStyle w:val="Compact"/>
                    <w:jc w:val="center"/>
                  </w:pPr>
                  <w:r>
                    <w:t xml:space="preserve">0.05357</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Inf</w:t>
                  </w:r>
                </w:p>
              </w:tc>
              <w:tc>
                <w:tcPr/>
                <w:p>
                  <w:pPr>
                    <w:pStyle w:val="Compact"/>
                    <w:jc w:val="center"/>
                  </w:pPr>
                  <w:r>
                    <w:t xml:space="preserve">0.06286</w:t>
                  </w:r>
                </w:p>
              </w:tc>
            </w:tr>
            <w:tr>
              <w:tc>
                <w:tcPr/>
                <w:p>
                  <w:pPr>
                    <w:pStyle w:val="Compact"/>
                    <w:jc w:val="center"/>
                  </w:pPr>
                  <w:r>
                    <w:t xml:space="preserve">veg_diff</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Inf</w:t>
                  </w:r>
                </w:p>
              </w:tc>
              <w:tc>
                <w:tcPr/>
                <w:p>
                  <w:pPr>
                    <w:pStyle w:val="Compact"/>
                    <w:jc w:val="center"/>
                  </w:pPr>
                  <w:r>
                    <w:t xml:space="preserve">0.08602</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Inf</w:t>
                  </w:r>
                </w:p>
              </w:tc>
              <w:tc>
                <w:tcPr/>
                <w:p>
                  <w:pPr>
                    <w:pStyle w:val="Compact"/>
                    <w:jc w:val="center"/>
                  </w:pPr>
                  <w:r>
                    <w:t xml:space="preserve">0.12359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Inf</w:t>
                  </w:r>
                </w:p>
              </w:tc>
              <w:tc>
                <w:tcPr/>
                <w:p>
                  <w:pPr>
                    <w:pStyle w:val="Compact"/>
                    <w:jc w:val="center"/>
                  </w:pPr>
                  <w:r>
                    <w:t xml:space="preserve">0.14104</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Inf</w:t>
                  </w:r>
                </w:p>
              </w:tc>
              <w:tc>
                <w:tcPr/>
                <w:p>
                  <w:pPr>
                    <w:pStyle w:val="Compact"/>
                    <w:jc w:val="center"/>
                  </w:pPr>
                  <w:r>
                    <w:t xml:space="preserve">0.1565</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0.17315</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Inf</w:t>
                  </w:r>
                </w:p>
              </w:tc>
              <w:tc>
                <w:tcPr/>
                <w:p>
                  <w:pPr>
                    <w:pStyle w:val="Compact"/>
                    <w:jc w:val="center"/>
                  </w:pPr>
                  <w:r>
                    <w:t xml:space="preserve">0.24322</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Inf</w:t>
                  </w:r>
                </w:p>
              </w:tc>
              <w:tc>
                <w:tcPr/>
                <w:p>
                  <w:pPr>
                    <w:pStyle w:val="Compact"/>
                    <w:jc w:val="center"/>
                  </w:pPr>
                  <w:r>
                    <w:t xml:space="preserve">0.26381</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Inf</w:t>
                  </w:r>
                </w:p>
              </w:tc>
              <w:tc>
                <w:tcPr/>
                <w:p>
                  <w:pPr>
                    <w:pStyle w:val="Compact"/>
                    <w:jc w:val="center"/>
                  </w:pPr>
                  <w:r>
                    <w:t xml:space="preserve">0.31242</w:t>
                  </w:r>
                </w:p>
              </w:tc>
            </w:tr>
            <w:tr>
              <w:tc>
                <w:tcPr/>
                <w:p>
                  <w:pPr>
                    <w:pStyle w:val="Compact"/>
                    <w:jc w:val="center"/>
                  </w:pPr>
                  <w:r>
                    <w:t xml:space="preserve">veg_diff</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Inf</w:t>
                  </w:r>
                </w:p>
              </w:tc>
              <w:tc>
                <w:tcPr/>
                <w:p>
                  <w:pPr>
                    <w:pStyle w:val="Compact"/>
                    <w:jc w:val="center"/>
                  </w:pPr>
                  <w:r>
                    <w:t xml:space="preserve">0.36644</w:t>
                  </w:r>
                </w:p>
              </w:tc>
            </w:tr>
            <w:tr>
              <w:tc>
                <w:tcPr/>
                <w:p>
                  <w:pPr>
                    <w:pStyle w:val="Compact"/>
                    <w:jc w:val="center"/>
                  </w:pPr>
                  <w:r>
                    <w:t xml:space="preserve">veg_diff</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0.41898</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Inf</w:t>
                  </w:r>
                </w:p>
              </w:tc>
              <w:tc>
                <w:tcPr/>
                <w:p>
                  <w:pPr>
                    <w:pStyle w:val="Compact"/>
                    <w:jc w:val="center"/>
                  </w:pPr>
                  <w:r>
                    <w:t xml:space="preserve">0.49237</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Inf</w:t>
                  </w:r>
                </w:p>
              </w:tc>
              <w:tc>
                <w:tcPr/>
                <w:p>
                  <w:pPr>
                    <w:pStyle w:val="Compact"/>
                    <w:jc w:val="center"/>
                  </w:pPr>
                  <w:r>
                    <w:t xml:space="preserve">0.51297</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0.51617</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Inf</w:t>
                  </w:r>
                </w:p>
              </w:tc>
              <w:tc>
                <w:tcPr/>
                <w:p>
                  <w:pPr>
                    <w:pStyle w:val="Compact"/>
                    <w:jc w:val="center"/>
                  </w:pPr>
                  <w:r>
                    <w:t xml:space="preserve">0.54089</w:t>
                  </w:r>
                </w:p>
              </w:tc>
            </w:tr>
            <w:tr>
              <w:tc>
                <w:tcPr/>
                <w:p>
                  <w:pPr>
                    <w:pStyle w:val="Compact"/>
                    <w:jc w:val="center"/>
                  </w:pPr>
                  <w:r>
                    <w:t xml:space="preserve">veg_diff</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0.59869</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0.60281</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0.68792</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0.6903</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Inf</w:t>
                  </w:r>
                </w:p>
              </w:tc>
              <w:tc>
                <w:tcPr/>
                <w:p>
                  <w:pPr>
                    <w:pStyle w:val="Compact"/>
                    <w:jc w:val="center"/>
                  </w:pPr>
                  <w:r>
                    <w:t xml:space="preserve">0.7434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Inf</w:t>
                  </w:r>
                </w:p>
              </w:tc>
              <w:tc>
                <w:tcPr/>
                <w:p>
                  <w:pPr>
                    <w:pStyle w:val="Compact"/>
                    <w:jc w:val="center"/>
                  </w:pPr>
                  <w:r>
                    <w:t xml:space="preserve">0.80002</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Inf</w:t>
                  </w:r>
                </w:p>
              </w:tc>
              <w:tc>
                <w:tcPr/>
                <w:p>
                  <w:pPr>
                    <w:pStyle w:val="Compact"/>
                    <w:jc w:val="center"/>
                  </w:pPr>
                  <w:r>
                    <w:t xml:space="preserve">0.82556</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Inf</w:t>
                  </w:r>
                </w:p>
              </w:tc>
              <w:tc>
                <w:tcPr/>
                <w:p>
                  <w:pPr>
                    <w:pStyle w:val="Compact"/>
                    <w:jc w:val="center"/>
                  </w:pPr>
                  <w:r>
                    <w:t xml:space="preserve">0.92729</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Inf</w:t>
                  </w:r>
                </w:p>
              </w:tc>
              <w:tc>
                <w:tcPr/>
                <w:p>
                  <w:pPr>
                    <w:pStyle w:val="Compact"/>
                    <w:jc w:val="center"/>
                  </w:pPr>
                  <w:r>
                    <w:t xml:space="preserve">0.94512</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Inf</w:t>
                  </w:r>
                </w:p>
              </w:tc>
              <w:tc>
                <w:tcPr/>
                <w:p>
                  <w:pPr>
                    <w:pStyle w:val="Compact"/>
                    <w:jc w:val="center"/>
                  </w:pPr>
                  <w:r>
                    <w:t xml:space="preserve">0.97521</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0.98118</w:t>
                  </w:r>
                </w:p>
              </w:tc>
            </w:tr>
            <w:tr>
              <w:tc>
                <w:tcPr/>
                <w:p>
                  <w:pPr>
                    <w:pStyle w:val="Compact"/>
                    <w:jc w:val="center"/>
                  </w:pPr>
                  <w:r>
                    <w:t xml:space="preserve">veg_diff</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0.98495</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0.99993</w:t>
                  </w:r>
                </w:p>
              </w:tc>
            </w:tr>
          </w:tbl>
          <w:bookmarkEnd w:id="11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662"/>
              <w:tblLayout w:type="fixed"/>
              <w:tblLook w:firstRow="1" w:lastRow="0" w:firstColumn="0" w:lastColumn="0" w:noHBand="0" w:noVBand="0" w:val="0020"/>
            </w:tblPr>
            <w:tblGrid>
              <w:gridCol w:w="1177"/>
              <w:gridCol w:w="1070"/>
              <w:gridCol w:w="1177"/>
              <w:gridCol w:w="749"/>
              <w:gridCol w:w="642"/>
              <w:gridCol w:w="1284"/>
              <w:gridCol w:w="1284"/>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Inf</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Inf</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Inf</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veg_diff</w:t>
                  </w:r>
                </w:p>
              </w:tc>
              <w:tc>
                <w:tcPr/>
                <w:p>
                  <w:pPr>
                    <w:pStyle w:val="Compact"/>
                    <w:jc w:val="center"/>
                  </w:pPr>
                  <w:r>
                    <w:t xml:space="preserve">overall</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Inf</w:t>
                  </w:r>
                </w:p>
              </w:tc>
              <w:tc>
                <w:tcPr/>
                <w:p>
                  <w:pPr>
                    <w:pStyle w:val="Compact"/>
                    <w:jc w:val="center"/>
                  </w:pPr>
                  <w:r>
                    <w:t xml:space="preserve">10.8</w:t>
                  </w:r>
                </w:p>
              </w:tc>
              <w:tc>
                <w:tcPr/>
                <w:p>
                  <w:pPr>
                    <w:pStyle w:val="Compac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2" w:name="discussion"/>
    <w:p>
      <w:pPr>
        <w:pStyle w:val="Heading1"/>
      </w:pPr>
      <w:r>
        <w:t xml:space="preserve">4. Discussion</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5"/>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pStyle w:val="Compact"/>
              <w:numPr>
                <w:ilvl w:val="0"/>
                <w:numId w:val="1005"/>
              </w:numPr>
            </w:pPr>
            <w:r>
              <w:t xml:space="preserve">Aspect is an important predictor that was not explicitly accounted for in our</w:t>
            </w:r>
            <w:r>
              <w:t xml:space="preserve"> </w:t>
            </w:r>
            <w:r>
              <w:t xml:space="preserve">model, and may have led to inflated uncertainty</w:t>
            </w:r>
          </w:p>
          <w:p>
            <w:pPr>
              <w:pStyle w:val="Compact"/>
              <w:numPr>
                <w:ilvl w:val="0"/>
                <w:numId w:val="1005"/>
              </w:numPr>
            </w:pPr>
            <w:r>
              <w:t xml:space="preserve">Cost of treatments</w:t>
            </w:r>
          </w:p>
          <w:p>
            <w:pPr>
              <w:pStyle w:val="Compact"/>
              <w:numPr>
                <w:ilvl w:val="0"/>
                <w:numId w:val="1005"/>
              </w:numPr>
            </w:pPr>
            <w:r>
              <w:t xml:space="preserve">1-hr redwood fuels differed from other studies in that we implemented a cutoff</w:t>
            </w:r>
          </w:p>
          <w:p>
            <w:pPr>
              <w:pStyle w:val="Compact"/>
              <w:numPr>
                <w:ilvl w:val="0"/>
                <w:numId w:val="1005"/>
              </w:numPr>
            </w:pPr>
            <w:r>
              <w:t xml:space="preserve">Discuss the decision to allow surface fuels to extend to greater than 2 meters</w:t>
            </w:r>
          </w:p>
          <w:p>
            <w:pPr>
              <w:pStyle w:val="Compact"/>
              <w:numPr>
                <w:ilvl w:val="0"/>
                <w:numId w:val="1005"/>
              </w:numPr>
            </w:pPr>
            <w:r>
              <w:t xml:space="preserve">It may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pStyle w:val="Compact"/>
              <w:numPr>
                <w:ilvl w:val="0"/>
                <w:numId w:val="1005"/>
              </w:numPr>
            </w:pPr>
            <w:r>
              <w:t xml:space="preserve">Discuss the decision to combine live and dead vegetation fuels</w:t>
            </w:r>
          </w:p>
          <w:p>
            <w:pPr>
              <w:pStyle w:val="Compact"/>
              <w:numPr>
                <w:ilvl w:val="0"/>
                <w:numId w:val="1005"/>
              </w:numPr>
            </w:pPr>
            <w:r>
              <w:t xml:space="preserve">Discuss the decision to combine herbaceous and woody vegetation fuels</w:t>
            </w:r>
          </w:p>
          <w:p>
            <w:pPr>
              <w:pStyle w:val="Compact"/>
              <w:numPr>
                <w:ilvl w:val="0"/>
                <w:numId w:val="1005"/>
              </w:numPr>
            </w:pPr>
            <w:r>
              <w:t xml:space="preserve">Discuss the decision to combine duff and litter</w:t>
            </w:r>
          </w:p>
          <w:p>
            <w:pPr>
              <w:pStyle w:val="Compact"/>
              <w:numPr>
                <w:ilvl w:val="0"/>
                <w:numId w:val="1005"/>
              </w:numPr>
            </w:pPr>
            <w:r>
              <w:t xml:space="preserve">Discuss the decision to use basal area for redwood and tanoak and counts for</w:t>
            </w:r>
            <w:r>
              <w:t xml:space="preserve"> </w:t>
            </w:r>
            <w:r>
              <w:t xml:space="preserve">Douglas-fir</w:t>
            </w:r>
          </w:p>
          <w:p>
            <w:pPr>
              <w:pStyle w:val="Compact"/>
              <w:numPr>
                <w:ilvl w:val="0"/>
                <w:numId w:val="1005"/>
              </w:numPr>
            </w:pPr>
            <w:r>
              <w:t xml:space="preserve">Discuss the similarity between vegetation fuel difference post-PCT and</w:t>
            </w:r>
            <w:r>
              <w:t xml:space="preserve"> </w:t>
            </w:r>
            <w:r>
              <w:t xml:space="preserve">vegetation fuel loading pre-PCT</w:t>
            </w:r>
          </w:p>
          <w:p>
            <w:pPr>
              <w:pStyle w:val="Compact"/>
              <w:numPr>
                <w:ilvl w:val="0"/>
                <w:numId w:val="1005"/>
              </w:numPr>
            </w:pPr>
            <w:r>
              <w:t xml:space="preserve">Discuss the significance of 1-hr fuel loading pre-PCT vs post-PCT</w:t>
            </w:r>
          </w:p>
          <w:p>
            <w:pPr>
              <w:pStyle w:val="Compact"/>
              <w:numPr>
                <w:ilvl w:val="0"/>
                <w:numId w:val="1005"/>
              </w:numPr>
            </w:pPr>
            <w:r>
              <w:t xml:space="preserve">Discuss the significance of 10-hr fuel loading pre-PCT vs post-PCT</w:t>
            </w:r>
          </w:p>
          <w:p>
            <w:pPr>
              <w:pStyle w:val="Compact"/>
              <w:numPr>
                <w:ilvl w:val="0"/>
                <w:numId w:val="1005"/>
              </w:numPr>
            </w:pPr>
            <w:r>
              <w:t xml:space="preserve">Discuss the significance of 100-hr fuel loading pre-PCT vs post-PCT</w:t>
            </w:r>
          </w:p>
          <w:p>
            <w:pPr>
              <w:pStyle w:val="Compact"/>
              <w:numPr>
                <w:ilvl w:val="0"/>
                <w:numId w:val="1005"/>
              </w:numPr>
            </w:pPr>
            <w:r>
              <w:t xml:space="preserve">Discuss the similarity between redwood or tanoak basal area and vegetation fuel loading</w:t>
            </w:r>
          </w:p>
          <w:p>
            <w:pPr>
              <w:pStyle w:val="Compact"/>
              <w:numPr>
                <w:ilvl w:val="0"/>
                <w:numId w:val="1005"/>
              </w:numPr>
            </w:pPr>
            <w:r>
              <w:t xml:space="preserve">Discuss the potential over-estimation of vegetation fuel loading</w:t>
            </w:r>
          </w:p>
          <w:p/>
        </w:tc>
      </w:tr>
    </w:tbl>
    <w:bookmarkStart w:id="125" w:name="regeneration-3"/>
    <w:p>
      <w:pPr>
        <w:pStyle w:val="Heading2"/>
      </w:pPr>
      <w:r>
        <w:t xml:space="preserve">4.1 Regeneration</w:t>
      </w:r>
    </w:p>
    <w:bookmarkStart w:id="122"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 suggesting that the HA treatment minimized tanoak sprout growth.</w:t>
      </w:r>
    </w:p>
    <w:p>
      <w:pPr>
        <w:pStyle w:val="BodyText"/>
      </w:pPr>
      <w:r>
        <w:t xml:space="preserve">Shade tolerance theory predicts that at a certain overstory density, tanoak</w:t>
      </w:r>
      <w:r>
        <w:t xml:space="preserve"> </w:t>
      </w:r>
      <w:r>
        <w:t xml:space="preserve">abundance should exceed that of redwood. This crossover point appears to have</w:t>
      </w:r>
      <w:r>
        <w:t xml:space="preserve"> </w:t>
      </w:r>
      <w:r>
        <w:t xml:space="preserve">been approached in the HA and HD treatments where basal area for these two</w:t>
      </w:r>
      <w:r>
        <w:t xml:space="preserve"> </w:t>
      </w:r>
      <w:r>
        <w:t xml:space="preserve">species were very similar.</w:t>
      </w:r>
    </w:p>
    <w:p>
      <w:pPr>
        <w:pStyle w:val="BodyText"/>
      </w:pPr>
      <w:r>
        <w:t xml:space="preserve">It is important to point out here that the HA and HD</w:t>
      </w:r>
      <w:r>
        <w:t xml:space="preserve"> </w:t>
      </w:r>
      <w:r>
        <w:t xml:space="preserve">“high-density”</w:t>
      </w:r>
      <w:r>
        <w:t xml:space="preserve"> </w:t>
      </w:r>
      <w:r>
        <w:t xml:space="preserve">treatments</w:t>
      </w:r>
      <w:r>
        <w:t xml:space="preserve"> </w:t>
      </w:r>
      <w:r>
        <w:t xml:space="preserve">in this experiment only targeted a residual overstory relative density of 20%</w:t>
      </w:r>
      <w:r>
        <w:t xml:space="preserve"> </w:t>
      </w:r>
      <w:r>
        <w:t xml:space="preserve">(that is 20% of assumed total carrying capacity of the site), and this was</w:t>
      </w:r>
      <w:r>
        <w:t xml:space="preserve"> </w:t>
      </w:r>
      <w:r>
        <w:t xml:space="preserve">selected as an upper limit to support the objective of maintaining conifer</w:t>
      </w:r>
      <w:r>
        <w:t xml:space="preserve"> </w:t>
      </w:r>
      <w:r>
        <w:t xml:space="preserve">growth</w:t>
      </w:r>
      <w:r>
        <w:t xml:space="preserve"> </w:t>
      </w:r>
      <w:r>
        <w:t xml:space="preserve">(Berrill &amp; O’Hara, 2009)</w:t>
      </w:r>
      <w:r>
        <w:t xml:space="preserve">. It seems likely that at higher</w:t>
      </w:r>
      <w:r>
        <w:t xml:space="preserve"> </w:t>
      </w:r>
      <w:r>
        <w:t xml:space="preserve">overstory densities we might see tanoak abundance, in terms of total basal area,</w:t>
      </w:r>
      <w:r>
        <w:t xml:space="preserve"> </w:t>
      </w:r>
      <w:r>
        <w:t xml:space="preserve">exceed that of redwood in the understory.</w:t>
      </w:r>
    </w:p>
    <w:p>
      <w:pPr>
        <w:pStyle w:val="BodyText"/>
      </w:pPr>
      <w:r>
        <w:t xml:space="preserve">Our use of basal area as a response did not distinguish between number of stems</w:t>
      </w:r>
      <w:r>
        <w:t xml:space="preserve"> </w:t>
      </w:r>
      <w:r>
        <w:t xml:space="preserve">and size of stems. There have been numerous metrics used in attempts to assess</w:t>
      </w:r>
      <w:r>
        <w:t xml:space="preserve"> </w:t>
      </w:r>
      <w:r>
        <w:t xml:space="preserve">shade tolerance</w:t>
      </w:r>
      <w:r>
        <w:t xml:space="preserve"> </w:t>
      </w:r>
      <w:r>
        <w:t xml:space="preserve">(Forrester et al., 2014)</w:t>
      </w:r>
      <w:r>
        <w:t xml:space="preserve">. Our use of basal area</w:t>
      </w:r>
      <w:r>
        <w:t xml:space="preserve"> </w:t>
      </w:r>
      <w:r>
        <w:t xml:space="preserve">(which conflates growth and survival of sprouts) is justified given the</w:t>
      </w:r>
      <w:r>
        <w:t xml:space="preserve"> </w:t>
      </w:r>
      <w:r>
        <w:t xml:space="preserve">assumption that these are expected to be correlated in forests that don’t</w:t>
      </w:r>
      <w:r>
        <w:t xml:space="preserve"> </w:t>
      </w:r>
      <w:r>
        <w:t xml:space="preserve">undergo a long harsh winter</w:t>
      </w:r>
      <w:r>
        <w:t xml:space="preserve"> </w:t>
      </w:r>
      <w:r>
        <w:t xml:space="preserve">(Lin et al., 2002)</w:t>
      </w:r>
      <w:r>
        <w:t xml:space="preserve">.</w:t>
      </w:r>
    </w:p>
    <w:p>
      <w:pPr>
        <w:pStyle w:val="BodyText"/>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p>
    <w:p>
      <w:pPr>
        <w:pStyle w:val="BodyText"/>
      </w:pPr>
      <w:r>
        <w:t xml:space="preserve">In all treatments, the uncertainty in the average redwood basal area is much</w:t>
      </w:r>
      <w:r>
        <w:t xml:space="preserve"> </w:t>
      </w:r>
      <w:r>
        <w:t xml:space="preserve">greater than that of tanoak. Given that we modeled the total basal area of all</w:t>
      </w:r>
      <w:r>
        <w:t xml:space="preserve"> </w:t>
      </w:r>
      <w:r>
        <w:t xml:space="preserve">species in each vegetation plot, this suggests that variability in redwood basal</w:t>
      </w:r>
      <w:r>
        <w:t xml:space="preserve"> </w:t>
      </w:r>
      <w:r>
        <w:t xml:space="preserve">area was much greater than that of tanoak across macro plots and/or sites. The</w:t>
      </w:r>
      <w:r>
        <w:t xml:space="preserve"> </w:t>
      </w:r>
      <w:r>
        <w:t xml:space="preserve">greater relative uncertainty we observed in redwood compared to tanoak may have</w:t>
      </w:r>
      <w:r>
        <w:t xml:space="preserve"> </w:t>
      </w:r>
      <w:r>
        <w:t xml:space="preserve">to do with redwoods greater sensitivity to light conditions. We selected sites</w:t>
      </w:r>
      <w:r>
        <w:t xml:space="preserve"> </w:t>
      </w:r>
      <w:r>
        <w:t xml:space="preserve">with both north and south facing slopes and this may have led to relatively</w:t>
      </w:r>
      <w:r>
        <w:t xml:space="preserve"> </w:t>
      </w:r>
      <w:r>
        <w:t xml:space="preserve">larger differences for redwoods growth response compared to tanoak. Additional</w:t>
      </w:r>
      <w:r>
        <w:t xml:space="preserve"> </w:t>
      </w:r>
      <w:r>
        <w:t xml:space="preserve">uncertainty may be due to variable light levels within macro plots.</w:t>
      </w:r>
    </w:p>
    <w:p>
      <w:pPr>
        <w:pStyle w:val="BodyText"/>
      </w:pPr>
      <w:r>
        <w:t xml:space="preserve">It is interesting to note that basal area comparisons between redwood and tanoak</w:t>
      </w:r>
      <w:r>
        <w:t xml:space="preserve"> </w:t>
      </w:r>
      <w:r>
        <w:t xml:space="preserve">resulted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 or size of cut stump as a</w:t>
      </w:r>
      <w:r>
        <w:t xml:space="preserve"> </w:t>
      </w:r>
      <w:r>
        <w:t xml:space="preserve">proxy for size or resprouting root system</w:t>
      </w:r>
      <w:r>
        <w:t xml:space="preserve"> </w:t>
      </w:r>
      <w:r>
        <w:t xml:space="preserve">(Berrill et al., 2018)</w:t>
      </w:r>
      <w:r>
        <w:t xml:space="preserve">.</w:t>
      </w:r>
    </w:p>
    <w:bookmarkEnd w:id="122"/>
    <w:bookmarkStart w:id="123" w:name="douglas-fir-counts-1"/>
    <w:p>
      <w:pPr>
        <w:pStyle w:val="Heading3"/>
      </w:pPr>
      <w:r>
        <w:t xml:space="preserve">4.1.2 Douglas-fir counts</w:t>
      </w:r>
    </w:p>
    <w:p>
      <w:pPr>
        <w:pStyle w:val="FirstParagraph"/>
      </w:pPr>
      <w:r>
        <w:t xml:space="preserve">Douglas-fir abundance was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or stem</w:t>
      </w:r>
      <w:r>
        <w:t xml:space="preserve"> </w:t>
      </w:r>
      <w:r>
        <w:t xml:space="preserve">counts.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4"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w:t>
      </w:r>
      <w:r>
        <w:t xml:space="preserve"> </w:t>
      </w:r>
      <w:r>
        <w:t xml:space="preserve">data. Potential differences in minor species’ abundances is likely only relevant</w:t>
      </w:r>
      <w:r>
        <w:t xml:space="preserve"> </w:t>
      </w:r>
      <w:r>
        <w:t xml:space="preserve">for grand fir, due to its shade tolerance</w:t>
      </w:r>
      <w:r>
        <w:t xml:space="preserve"> </w:t>
      </w:r>
      <w:r>
        <w:t xml:space="preserve">(Webb et al., 2012)</w:t>
      </w:r>
      <w:r>
        <w:t xml:space="preserve">. Red</w:t>
      </w:r>
      <w:r>
        <w:t xml:space="preserve"> </w:t>
      </w:r>
      <w:r>
        <w:t xml:space="preserve">alder and western hemlock were observed during an earlier iteration of this</w:t>
      </w:r>
      <w:r>
        <w:t xml:space="preserve"> </w:t>
      </w:r>
      <w:r>
        <w:t xml:space="preserve">experiment, but were not detected with our current experimental design</w:t>
      </w:r>
      <w:r>
        <w:t xml:space="preserve"> </w:t>
      </w:r>
      <w:r>
        <w:t xml:space="preserve">(Muma, 2019)</w:t>
      </w:r>
      <w:r>
        <w:t xml:space="preserve">.</w:t>
      </w:r>
    </w:p>
    <w:bookmarkEnd w:id="124"/>
    <w:bookmarkEnd w:id="125"/>
    <w:bookmarkStart w:id="126" w:name="sprout-height"/>
    <w:p>
      <w:pPr>
        <w:pStyle w:val="Heading2"/>
      </w:pPr>
      <w:r>
        <w:t xml:space="preserve">4.2 Sprout height</w:t>
      </w:r>
    </w:p>
    <w:p>
      <w:pPr>
        <w:pStyle w:val="FirstParagraph"/>
      </w:pPr>
      <w:r>
        <w:t xml:space="preserve">We found that for both redwood and tanoak, height increment and overall</w:t>
      </w:r>
      <w:r>
        <w:t xml:space="preserve"> </w:t>
      </w:r>
      <w:r>
        <w:t xml:space="preserve">height at year 10 were greatest in the Group Selection (GS) treatment, followed</w:t>
      </w:r>
      <w:r>
        <w:t xml:space="preserve"> </w:t>
      </w:r>
      <w:r>
        <w:t xml:space="preserve">by Low-Density Dispersed (LD), High-Density Aggregated (HA), and High-Density</w:t>
      </w:r>
      <w:r>
        <w:t xml:space="preserve"> </w:t>
      </w:r>
      <w:r>
        <w:t xml:space="preserve">Dispersed (HD) treatments. This pattern indicates that greater reductions in</w:t>
      </w:r>
      <w:r>
        <w:t xml:space="preserve"> </w:t>
      </w:r>
      <w:r>
        <w:t xml:space="preserve">overstory density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 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 until the next</w:t>
      </w:r>
      <w:r>
        <w:t xml:space="preserve"> </w:t>
      </w:r>
      <w:r>
        <w:t xml:space="preserve">partial harvest.</w:t>
      </w:r>
    </w:p>
    <w:bookmarkEnd w:id="126"/>
    <w:bookmarkStart w:id="131" w:name="fuel-loading"/>
    <w:p>
      <w:pPr>
        <w:pStyle w:val="Heading2"/>
      </w:pPr>
      <w:r>
        <w:t xml:space="preserve">4.3 Fuel loading</w:t>
      </w:r>
    </w:p>
    <w:bookmarkStart w:id="129" w:name="pre-pct-1"/>
    <w:p>
      <w:pPr>
        <w:pStyle w:val="Heading3"/>
      </w:pPr>
      <w:r>
        <w:t xml:space="preserve">4.3.1 Pre-PCT</w:t>
      </w:r>
    </w:p>
    <w:p>
      <w:pPr>
        <w:pStyle w:val="FirstParagraph"/>
      </w:pPr>
      <w:r>
        <w:t xml:space="preserve">Prior to PCT scheduled Fuel loading were comparable to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range of redwood stand structures</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 </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 (7 Mg ha</w:t>
      </w:r>
      <w:r>
        <w:rPr>
          <w:vertAlign w:val="superscript"/>
        </w:rPr>
        <w:t xml:space="preserve">-1</w:t>
      </w:r>
      <w:r>
        <w:t xml:space="preserve">,</w:t>
      </w:r>
      <w:r>
        <w:t xml:space="preserve"> </w:t>
      </w:r>
      <w:r>
        <w:t xml:space="preserve">Glebocki (2015)</w:t>
      </w:r>
      <w:r>
        <w:t xml:space="preserve">), and 3 Mg ha</w:t>
      </w:r>
      <w:r>
        <w:rPr>
          <w:vertAlign w:val="superscript"/>
        </w:rPr>
        <w:t xml:space="preserve">-1</w:t>
      </w:r>
      <w:r>
        <w:t xml:space="preserve"> </w:t>
      </w:r>
      <w:r>
        <w:t xml:space="preserve">higher</w:t>
      </w:r>
      <w:r>
        <w:t xml:space="preserve"> </w:t>
      </w:r>
      <w:r>
        <w:t xml:space="preserve">than that found in old growth stands (12 Mg ha</w:t>
      </w:r>
      <w:r>
        <w:rPr>
          <w:vertAlign w:val="superscript"/>
        </w:rPr>
        <w:t xml:space="preserve">-1</w:t>
      </w:r>
      <w:r>
        <w:t xml:space="preserve">,</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possibly due to differing stand structures and species compositions. That young</w:t>
      </w:r>
      <w:r>
        <w:t xml:space="preserve"> </w:t>
      </w:r>
      <w:r>
        <w:t xml:space="preserve">forest was dominated by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The similarity in average fuel loading between our Pre-PCT stands and two</w:t>
      </w:r>
      <w:r>
        <w:t xml:space="preserve"> </w:t>
      </w:r>
      <w:r>
        <w:t xml:space="preserve">studies conducted in structurally distinct redwood forests aligns with our</w:t>
      </w:r>
      <w:r>
        <w:t xml:space="preserve"> </w:t>
      </w:r>
      <w:r>
        <w:t xml:space="preserve">finding of few statistically significant differences in fuel loading among</w:t>
      </w:r>
      <w:r>
        <w:t xml:space="preserve"> </w:t>
      </w:r>
      <w:r>
        <w:t xml:space="preserve">treatments. This result is common among other studies and is expected due to the</w:t>
      </w:r>
      <w:r>
        <w:t xml:space="preserve"> </w:t>
      </w:r>
      <w:r>
        <w:t xml:space="preserve">highly variable nature of forest fuels</w:t>
      </w:r>
      <w:r>
        <w:t xml:space="preserve"> </w:t>
      </w:r>
      <w:r>
        <w:t xml:space="preserve">(Collins et al., 2016; Keane et al., 2001, 2012)</w:t>
      </w:r>
      <w:r>
        <w:t xml:space="preserv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walki\AppData\Local\Programs\Quarto\share\formats\docx\caution.png" id="1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 discuss observed anomalies with HA treatment in general</w:t>
            </w:r>
          </w:p>
          <w:p>
            <w:pPr>
              <w:pStyle w:val="BodyText"/>
            </w:pPr>
            <w:r>
              <w:t xml:space="preserve">In all cases the largest observed differences involved the HA treatment. For</w:t>
            </w:r>
            <w:r>
              <w:t xml:space="preserve"> </w:t>
            </w:r>
            <w:r>
              <w:t xml:space="preserve">instance, for Duff &amp; Litter was lowest in the HA treatment and highest in the HD</w:t>
            </w:r>
            <w:r>
              <w:t xml:space="preserve"> </w:t>
            </w:r>
            <w:r>
              <w:t xml:space="preserve">treatment (p = 0.10) and this trend was paralleled by a similar trend in</w:t>
            </w:r>
            <w:r>
              <w:t xml:space="preserve"> </w:t>
            </w:r>
            <w:r>
              <w:t xml:space="preserve">vegetation fuel loading as well as in tanoak basal area.</w:t>
            </w:r>
          </w:p>
          <w:p>
            <w:pPr>
              <w:pStyle w:val="BodyText"/>
            </w:pPr>
            <w:pPr>
              <w:spacing w:after="16"/>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w:t>
            </w:r>
          </w:p>
          <w:p/>
        </w:tc>
      </w:tr>
    </w:tbl>
    <w:p>
      <w:pPr>
        <w:pStyle w:val="BodyText"/>
      </w:pPr>
      <w:r>
        <w:t xml:space="preserve">In a study across California’s Sierra Nevada mountain range, fine fuel loading</w:t>
      </w:r>
      <w:r>
        <w:t xml:space="preserve"> </w:t>
      </w:r>
      <w:r>
        <w:t xml:space="preserve">(including 1-, 10-, and 100-hr fuels) were found to be correlated with overstory</w:t>
      </w:r>
      <w:r>
        <w:t xml:space="preserve"> </w:t>
      </w:r>
      <w:r>
        <w:t xml:space="preserve">canopy cover and proportion of shade tolerant species and associated these</w:t>
      </w:r>
      <w:r>
        <w:t xml:space="preserve"> </w:t>
      </w:r>
      <w:r>
        <w:t xml:space="preserve">conditions, which represent recent shifts in forest composition resulting from</w:t>
      </w:r>
      <w:r>
        <w:t xml:space="preserve"> </w:t>
      </w:r>
      <w:r>
        <w:t xml:space="preserve">fire suppression, 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w:t>
      </w:r>
      <w:r>
        <w:t xml:space="preserve"> </w:t>
      </w:r>
      <w:r>
        <w:t xml:space="preserve">(Keane, 2008; Pillers &amp; Stuart, 1993)</w:t>
      </w:r>
      <w:r>
        <w:t xml:space="preserve">.</w:t>
      </w:r>
      <w:r>
        <w:t xml:space="preserve"> </w:t>
      </w:r>
      <w:r>
        <w:t xml:space="preserve">Forest floor conditions in the HA treatment may have been somewhat more moist</w:t>
      </w:r>
      <w:r>
        <w:t xml:space="preserve"> </w:t>
      </w:r>
      <w:r>
        <w:t xml:space="preserve">than the more open treatments due to sheltering but warmer than the HD treatment</w:t>
      </w:r>
      <w:r>
        <w:t xml:space="preserve"> </w:t>
      </w:r>
      <w:r>
        <w:t xml:space="preserve">due to greater light infiltration (e.g.,</w:t>
      </w:r>
      <w:r>
        <w:t xml:space="preserve"> </w:t>
      </w:r>
      <w:r>
        <w:t xml:space="preserve">Kane (2021)</w:t>
      </w:r>
      <w:r>
        <w:t xml:space="preserve">). While</w:t>
      </w:r>
      <w:r>
        <w:t xml:space="preserve"> </w:t>
      </w:r>
      <w:r>
        <w:t xml:space="preserve">the differences in duff &amp; litter loading we observed are not likely to have a</w:t>
      </w:r>
      <w:r>
        <w:t xml:space="preserve"> </w:t>
      </w:r>
      <w:r>
        <w:t xml:space="preserve">significant impact on fire behavior, small differences in forest floor moisture</w:t>
      </w:r>
      <w:r>
        <w:t xml:space="preserve"> </w:t>
      </w:r>
      <w:r>
        <w:t xml:space="preserve">can have significant implications for prescribed burning operations.</w:t>
      </w:r>
    </w:p>
    <w:p>
      <w:pPr>
        <w:pStyle w:val="BodyText"/>
      </w:pPr>
      <w:r>
        <w:t xml:space="preserve">For both 1-hr and vegetation fuel loading, the HA treatment was most similar to</w:t>
      </w:r>
      <w:r>
        <w:t xml:space="preserve"> </w:t>
      </w:r>
      <w:r>
        <w:t xml:space="preserve">the HD treatment. In both treatments it appears that a greater density of</w:t>
      </w:r>
      <w:r>
        <w:t xml:space="preserve"> </w:t>
      </w:r>
      <w:r>
        <w:t xml:space="preserve">overstory trees would result in more twigs and less light available for growth</w:t>
      </w:r>
      <w:r>
        <w:t xml:space="preserve"> </w:t>
      </w:r>
      <w:r>
        <w:t xml:space="preserve">of vegetation at the surface. The high density treatments had less tanoak BA and</w:t>
      </w:r>
      <w:r>
        <w:t xml:space="preserve"> </w:t>
      </w:r>
      <w:r>
        <w:t xml:space="preserve">it is likely that tanoak was largely responsible for the vegetative fuel loading</w:t>
      </w:r>
      <w:r>
        <w:t xml:space="preserve"> </w:t>
      </w:r>
      <w:r>
        <w:t xml:space="preserve">differences. Vegetation fuel loading was not recorded by species but redwood and</w:t>
      </w:r>
      <w:r>
        <w:t xml:space="preserve"> </w:t>
      </w:r>
      <w:r>
        <w:t xml:space="preserve">tanoak sprouts 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greater understory density.</w:t>
      </w:r>
    </w:p>
    <w:p>
      <w:pPr>
        <w:pStyle w:val="BodyText"/>
      </w:pPr>
      <w:r>
        <w:t xml:space="preserve">In this study, live and dead vegetation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bookmarkEnd w:id="129"/>
    <w:bookmarkStart w:id="130"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Vegetative growth following thinning and harvest is an important consideration</w:t>
      </w:r>
      <w:r>
        <w:t xml:space="preserve"> </w:t>
      </w:r>
      <w:r>
        <w:t xml:space="preserve">for fire informed management. In our experiment, greater overstory retention</w:t>
      </w:r>
      <w:r>
        <w:t xml:space="preserve"> </w:t>
      </w:r>
      <w:r>
        <w:t xml:space="preserve">resulted in lower understory size and density. Therefore, 10 years of growth</w:t>
      </w:r>
      <w:r>
        <w:t xml:space="preserve"> </w:t>
      </w:r>
      <w:r>
        <w:t xml:space="preserve">(followed by PCT) led to some increase in average fine woody fuel loading,</w:t>
      </w:r>
      <w:r>
        <w:t xml:space="preserve"> </w:t>
      </w:r>
      <w:r>
        <w:t xml:space="preserve">particularly in the dense understories of the GS and LD treatments. One-hr fuels</w:t>
      </w:r>
      <w:r>
        <w:t xml:space="preserve"> </w:t>
      </w:r>
      <w:r>
        <w:t xml:space="preserve">increased most in the GS and LD treatments but there was also an unexpected</w:t>
      </w:r>
      <w:r>
        <w:t xml:space="preserve"> </w:t>
      </w:r>
      <w:r>
        <w:t xml:space="preserve">increase in 1-hr fuels in the HD treatment compared to the HA treatment which</w:t>
      </w:r>
      <w:r>
        <w:t xml:space="preserve"> </w:t>
      </w:r>
      <w:r>
        <w:t xml:space="preserve">had a negligible increase. Ten-hr fuels increased most in the GS and somewhat in</w:t>
      </w:r>
      <w:r>
        <w:t xml:space="preserve"> </w:t>
      </w:r>
      <w:r>
        <w:t xml:space="preserve">the LD treatment, reflecting the more rapid growth seen in these treatments</w:t>
      </w:r>
      <w:r>
        <w:t xml:space="preserve"> </w:t>
      </w:r>
      <w:r>
        <w:t xml:space="preserve">compared to the others.</w:t>
      </w:r>
    </w:p>
    <w:p>
      <w:pPr>
        <w:pStyle w:val="BodyText"/>
      </w:pP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 model selection process was guided by balancing parsimony, AIC, and</w:t>
      </w:r>
      <w:r>
        <w:t xml:space="preserve"> </w:t>
      </w:r>
      <w:r>
        <w:t xml:space="preserve">the production of well distributed residuals. As predicted fuel load variability</w:t>
      </w:r>
      <w:r>
        <w:t xml:space="preserve"> </w:t>
      </w:r>
      <w:r>
        <w:t xml:space="preserve">increased along with predicted fuel loads following PCT, model selection tended</w:t>
      </w:r>
      <w:r>
        <w:t xml:space="preserve"> </w:t>
      </w:r>
      <w:r>
        <w:t xml:space="preserve">towards more complex models that accounted for this variability–particularly</w:t>
      </w:r>
      <w:r>
        <w:t xml:space="preserve"> </w:t>
      </w:r>
      <w:r>
        <w:t xml:space="preserve">for 1- and 100-hr fuels.</w:t>
      </w:r>
    </w:p>
    <w:p>
      <w:pPr>
        <w:pStyle w:val="BodyText"/>
      </w:pPr>
      <w:r>
        <w:t xml:space="preserve">It can be seen from this analysis, resulting surfaces fuel conditions are</w:t>
      </w:r>
      <w:r>
        <w:t xml:space="preserve"> </w:t>
      </w:r>
      <w:r>
        <w:t xml:space="preserve">expected to be the result of a complex interaction of understory stand</w:t>
      </w:r>
      <w:r>
        <w:t xml:space="preserve"> </w:t>
      </w:r>
      <w:r>
        <w:t xml:space="preserve">productivity, overstory retention, and decomposition rate. Whether any of the</w:t>
      </w:r>
      <w:r>
        <w:t xml:space="preserve"> </w:t>
      </w:r>
      <w:r>
        <w:t xml:space="preserve">differences we observed result in a significant difference in prescribed or wild</w:t>
      </w:r>
      <w:r>
        <w:t xml:space="preserve"> </w:t>
      </w:r>
      <w:r>
        <w:t xml:space="preserve">fire will need to be tested by those disturbances. It is possible that the</w:t>
      </w:r>
      <w:r>
        <w:t xml:space="preserve"> </w:t>
      </w:r>
      <w:r>
        <w:t xml:space="preserve">elevated 10-hr loads in the GS and to a lesser degree, the LD treatments may</w:t>
      </w:r>
      <w:r>
        <w:t xml:space="preserve"> </w:t>
      </w:r>
      <w:r>
        <w:t xml:space="preserve">represent greater fuel continuity which could support prescribed fire</w:t>
      </w:r>
      <w:r>
        <w:t xml:space="preserve"> </w:t>
      </w:r>
      <w:r>
        <w:t xml:space="preserve">operations. Likewise, the HA treatment’s lower fuel loading across classes could</w:t>
      </w:r>
      <w:r>
        <w:t xml:space="preserve"> </w:t>
      </w:r>
      <w:r>
        <w:t xml:space="preserve">signify patchy fuel distribution.</w:t>
      </w:r>
    </w:p>
    <w:bookmarkEnd w:id="130"/>
    <w:bookmarkEnd w:id="131"/>
    <w:bookmarkEnd w:id="132"/>
    <w:bookmarkStart w:id="133" w:name="limitations-and-future-work"/>
    <w:p>
      <w:pPr>
        <w:pStyle w:val="Heading1"/>
      </w:pPr>
      <w:r>
        <w:t xml:space="preserve">5. Limitations and future work</w:t>
      </w:r>
    </w:p>
    <w:p>
      <w:pPr>
        <w:pStyle w:val="FirstParagraph"/>
      </w:pPr>
      <w:r>
        <w:t xml:space="preserve">Throughout this multi-faceted analysis there were several limitations that</w:t>
      </w:r>
      <w:r>
        <w:t xml:space="preserve"> </w:t>
      </w:r>
      <w:r>
        <w:t xml:space="preserve">arose.</w:t>
      </w:r>
    </w:p>
    <w:p>
      <w:pPr>
        <w:pStyle w:val="BodyText"/>
      </w:pPr>
      <w:r>
        <w:t xml:space="preserve">Basal area comparisons among treatments and with other species within a</w:t>
      </w:r>
      <w:r>
        <w:t xml:space="preserve"> </w:t>
      </w:r>
      <w:r>
        <w:t xml:space="preserve">treatment for tanoak were confounded by the fact that tanoak produced an</w:t>
      </w:r>
      <w:r>
        <w:t xml:space="preserve"> </w:t>
      </w:r>
      <w:r>
        <w:t xml:space="preserve">abundance of small diameter sprouts, especially in the HA and HD treatments</w:t>
      </w:r>
      <w:r>
        <w:t xml:space="preserve"> </w:t>
      </w:r>
      <w:r>
        <w:t xml:space="preserve">treatment (383 in HA vs 496 in HD, data not shown). Stems smaller than 2.54 cm</w:t>
      </w:r>
      <w:r>
        <w:t xml:space="preserve"> </w:t>
      </w:r>
      <w:r>
        <w:t xml:space="preserve">DBH were tallied. To facilitate basal area analysis, I assigned each of these</w:t>
      </w:r>
      <w:r>
        <w:t xml:space="preserve"> </w:t>
      </w:r>
      <w:r>
        <w:t xml:space="preserve">the possibly inaccurate midpoint diameter of 1.27 cm. Thus, the basal area of</w:t>
      </w:r>
      <w:r>
        <w:t xml:space="preserve"> </w:t>
      </w:r>
      <w:r>
        <w:t xml:space="preserve">these bushier tanaok in the HD and HA treatments may be slightly artificially</w:t>
      </w:r>
      <w:r>
        <w:t xml:space="preserve"> </w:t>
      </w:r>
      <w:r>
        <w:t xml:space="preserve">elevated. On the other hand, the general trend of treatment effect on tanaok</w:t>
      </w:r>
      <w:r>
        <w:t xml:space="preserve"> </w:t>
      </w:r>
      <w:r>
        <w:t xml:space="preserve">basal area response was mirrored in the vegetation fuel loading data which was</w:t>
      </w:r>
      <w:r>
        <w:t xml:space="preserve"> </w:t>
      </w:r>
      <w:r>
        <w:t xml:space="preserve">collected separately, lending support to the idea that the HA treatment may have</w:t>
      </w:r>
      <w:r>
        <w:t xml:space="preserve"> </w:t>
      </w:r>
      <w:r>
        <w:t xml:space="preserve">minimized tanoak sprout growth.</w:t>
      </w:r>
    </w:p>
    <w:p>
      <w:pPr>
        <w:pStyle w:val="BodyText"/>
      </w:pPr>
      <w:r>
        <w:t xml:space="preserve">In the analysis of sprout basal area, aspect would be an important consideration</w:t>
      </w:r>
      <w:r>
        <w:t xml:space="preserve"> </w:t>
      </w:r>
      <w:r>
        <w:t xml:space="preserve">for sprouts growth response. Reducing our uncertainty around redwood basal area</w:t>
      </w:r>
      <w:r>
        <w:t xml:space="preserve"> </w:t>
      </w:r>
      <w:r>
        <w:t xml:space="preserve">may require better incorporating the effect of aspect into our model. Also</w:t>
      </w:r>
      <w:r>
        <w:t xml:space="preserve"> </w:t>
      </w:r>
      <w:r>
        <w:t xml:space="preserve">regarding aspect, it seems likely that the effect of site on sprout growth was</w:t>
      </w:r>
      <w:r>
        <w:t xml:space="preserve"> </w:t>
      </w:r>
      <w:r>
        <w:t xml:space="preserve">bi-modal (due to our combination of predominately north- and south-facing site</w:t>
      </w:r>
      <w:r>
        <w:t xml:space="preserve"> </w:t>
      </w:r>
      <w:r>
        <w:t xml:space="preserve">aspects) and thus the regularization imposed by our random effects for sites</w:t>
      </w:r>
      <w:r>
        <w:t xml:space="preserve"> </w:t>
      </w:r>
      <w:r>
        <w:t xml:space="preserve">(assumed to be normally distributed) was likely inappropriate.</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including aspect</w:t>
      </w:r>
      <w:r>
        <w:t xml:space="preserve"> </w:t>
      </w:r>
      <w:r>
        <w:t xml:space="preserve">might have led to better explanatory power in our models. Our plots were</w:t>
      </w:r>
      <w:r>
        <w:t xml:space="preserve"> </w:t>
      </w:r>
      <w:r>
        <w:t xml:space="preserve">established over a range of aspects, but it is plausible that differences in</w:t>
      </w:r>
      <w:r>
        <w:t xml:space="preserve"> </w:t>
      </w:r>
      <w:r>
        <w:t xml:space="preserve">aspect outweighed differences between treatments. We had hoped that the</w:t>
      </w:r>
      <w:r>
        <w:t xml:space="preserve"> </w:t>
      </w:r>
      <w:r>
        <w:t xml:space="preserve">inclusion of site and treatment as nested random effects would have captured</w:t>
      </w:r>
      <w:r>
        <w:t xml:space="preserve"> </w:t>
      </w:r>
      <w:r>
        <w:t xml:space="preserve">site and block level differences in aspect. Additionally, aspect is largely a</w:t>
      </w:r>
      <w:r>
        <w:t xml:space="preserve"> </w:t>
      </w:r>
      <w:r>
        <w:t xml:space="preserve">proxy for insolation, and this may have also varied with shade conditions (very</w:t>
      </w:r>
      <w:r>
        <w:t xml:space="preserve"> </w:t>
      </w:r>
      <w:r>
        <w:t xml:space="preserve">large trees or road cuts) outside of the plot.</w:t>
      </w:r>
    </w:p>
    <w:p>
      <w:pPr>
        <w:pStyle w:val="BodyText"/>
      </w:pPr>
      <w:r>
        <w:t xml:space="preserve">The simple method we used probably over-estimated vegetation fuel loading,</w:t>
      </w:r>
      <w:r>
        <w:t xml:space="preserve"> </w:t>
      </w:r>
      <w:r>
        <w:t xml:space="preserve">evidenced by the fact that the large fuel loading differences measured for the</w:t>
      </w:r>
      <w:r>
        <w:t xml:space="preserve"> </w:t>
      </w:r>
      <w:r>
        <w:t xml:space="preserve">vegetation class are not reflected in the increase in fine fuels following PCT.</w:t>
      </w:r>
      <w:r>
        <w:t xml:space="preserve"> </w:t>
      </w:r>
      <w:r>
        <w:t xml:space="preserve">Although the contribution of slash foliage is not accounted for, it appears our</w:t>
      </w:r>
      <w:r>
        <w:t xml:space="preserve"> </w:t>
      </w:r>
      <w:r>
        <w:t xml:space="preserve">method may have over predicted vegetation loading by around a factor of three</w:t>
      </w:r>
      <w:r>
        <w:t xml:space="preserve"> </w:t>
      </w:r>
      <w:r>
        <w:t xml:space="preserve">under the assumption that the majority of the difference in vegetation fuels</w:t>
      </w:r>
      <w:r>
        <w:t xml:space="preserve"> </w:t>
      </w:r>
      <w:r>
        <w:t xml:space="preserve">should be captured by the sum of the differences in fine fuels.</w:t>
      </w:r>
    </w:p>
    <w:p>
      <w:pPr>
        <w:pStyle w:val="BodyText"/>
      </w:pPr>
      <w:r>
        <w:t xml:space="preserve">An important consideration for redwood sprouts in this experiment is that after</w:t>
      </w:r>
      <w:r>
        <w:t xml:space="preserve"> </w:t>
      </w:r>
      <w:r>
        <w:t xml:space="preserve">thinning, a fraction of existing sprouts will be retained. The retained sprouts</w:t>
      </w:r>
      <w:r>
        <w:t xml:space="preserve"> </w:t>
      </w:r>
      <w:r>
        <w:t xml:space="preserve">will generally be the largest and most vigorous. An interesting question that is</w:t>
      </w:r>
      <w:r>
        <w:t xml:space="preserve"> </w:t>
      </w:r>
      <w:r>
        <w:t xml:space="preserve">overlooked by our focus on the total basal area of sprout regeneration is if any</w:t>
      </w:r>
      <w:r>
        <w:t xml:space="preserve"> </w:t>
      </w:r>
      <w:r>
        <w:t xml:space="preserve">treatment produced larger individuals that would eventually be selected for</w:t>
      </w:r>
      <w:r>
        <w:t xml:space="preserve"> </w:t>
      </w:r>
      <w:r>
        <w:t xml:space="preserve">retention.</w:t>
      </w:r>
    </w:p>
    <w:p>
      <w:pPr>
        <w:pStyle w:val="BodyText"/>
      </w:pP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 and warrant further study in these unique</w:t>
      </w:r>
      <w:r>
        <w:t xml:space="preserve"> </w:t>
      </w:r>
      <w:r>
        <w:t xml:space="preserve">forest systems.</w:t>
      </w:r>
    </w:p>
    <w:bookmarkEnd w:id="133"/>
    <w:bookmarkStart w:id="134" w:name="conclusions-and-management-implications"/>
    <w:p>
      <w:pPr>
        <w:pStyle w:val="Heading1"/>
      </w:pPr>
      <w:r>
        <w:t xml:space="preserve">6. Conclusions and management implications</w:t>
      </w:r>
    </w:p>
    <w:p>
      <w:pPr>
        <w:pStyle w:val="FirstParagraph"/>
      </w:pPr>
      <w:r>
        <w:t xml:space="preserve">This study demonstrates the critical trade-off between maximizing redwood</w:t>
      </w:r>
      <w:r>
        <w:t xml:space="preserve"> </w:t>
      </w:r>
      <w:r>
        <w:t xml:space="preserve">productivity and managing fuel hazards. Harvesting techniques that promoted the</w:t>
      </w:r>
      <w:r>
        <w:t xml:space="preserve"> </w:t>
      </w:r>
      <w:r>
        <w:t xml:space="preserve">greatest redwood productivity and growth also resulted in significantly higher</w:t>
      </w:r>
      <w:r>
        <w:t xml:space="preserve"> </w:t>
      </w:r>
      <w:r>
        <w:t xml:space="preserve">levels of live vegetation fuels before pre-commercial thinning.</w:t>
      </w:r>
    </w:p>
    <w:p>
      <w:pPr>
        <w:pStyle w:val="BodyText"/>
      </w:pPr>
      <w:r>
        <w:t xml:space="preserve">Consequently, following the PCT, these high-productivity treatments also</w:t>
      </w:r>
      <w:r>
        <w:t xml:space="preserve"> </w:t>
      </w:r>
      <w:r>
        <w:t xml:space="preserve">generated higher volumes of fine dead fuels. This shows that successful</w:t>
      </w:r>
      <w:r>
        <w:t xml:space="preserve"> </w:t>
      </w:r>
      <w:r>
        <w:t xml:space="preserve">pyrosilviculture (not unlike traditional silviculture) must balance the goals of</w:t>
      </w:r>
      <w:r>
        <w:t xml:space="preserve"> </w:t>
      </w:r>
      <w:r>
        <w:t xml:space="preserve">growth and yield with fuels management. Maximizing the former also increases the</w:t>
      </w:r>
      <w:r>
        <w:t xml:space="preserve"> </w:t>
      </w:r>
      <w:r>
        <w:t xml:space="preserve">volume of slash fuels generated during tending treatments.</w:t>
      </w:r>
    </w:p>
    <w:p>
      <w:pPr>
        <w:pStyle w:val="BodyText"/>
      </w:pPr>
      <w:r>
        <w:t xml:space="preserve">This study also confirms that redwood and tanoak respond differently to varying</w:t>
      </w:r>
      <w:r>
        <w:t xml:space="preserve"> </w:t>
      </w:r>
      <w:r>
        <w:t xml:space="preserve">levels of canopy openness. Redwood basal area and height growth responded</w:t>
      </w:r>
      <w:r>
        <w:t xml:space="preserve"> </w:t>
      </w:r>
      <w:r>
        <w:t xml:space="preserve">strongly and positively to increasing openness.</w:t>
      </w:r>
    </w:p>
    <w:p>
      <w:pPr>
        <w:pStyle w:val="BodyText"/>
      </w:pPr>
      <w:r>
        <w:t xml:space="preserve">However, the findings suggest that the highest retention treatments approach a</w:t>
      </w:r>
      <w:r>
        <w:t xml:space="preserve"> </w:t>
      </w:r>
      <w:r>
        <w:t xml:space="preserve">critical threshold where tanoak’s competitive ability increases relative to</w:t>
      </w:r>
      <w:r>
        <w:t xml:space="preserve"> </w:t>
      </w:r>
      <w:r>
        <w:t xml:space="preserve">redwood. When basal area is used as the measure of competitive advantage, this</w:t>
      </w:r>
      <w:r>
        <w:t xml:space="preserve"> </w:t>
      </w:r>
      <w:r>
        <w:t xml:space="preserve">threshold occurred in the HD treatments, at overstory retentions of 20% relative</w:t>
      </w:r>
      <w:r>
        <w:t xml:space="preserve"> </w:t>
      </w:r>
      <w:r>
        <w:t xml:space="preserve">density, or 39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A significant result of this research involved the broader context of forest</w:t>
      </w:r>
      <w:r>
        <w:t xml:space="preserve"> </w:t>
      </w:r>
      <w:r>
        <w:t xml:space="preserve">stewardship. This study acknowledged the importance of incorporating indigenous</w:t>
      </w:r>
      <w:r>
        <w:t xml:space="preserve"> </w:t>
      </w:r>
      <w:r>
        <w:t xml:space="preserve">perspective, particularly from the Northern Pomo, the original stewards of these</w:t>
      </w:r>
      <w:r>
        <w:t xml:space="preserve"> </w:t>
      </w:r>
      <w:r>
        <w:t xml:space="preserve">lands, for responsible management of keystone species like tanoak. Tanoak is</w:t>
      </w:r>
      <w:r>
        <w:t xml:space="preserve"> </w:t>
      </w:r>
      <w:r>
        <w:t xml:space="preserve">culturally essential to the Pomo people as a principal food source, underscoring</w:t>
      </w:r>
      <w:r>
        <w:t xml:space="preserve"> </w:t>
      </w:r>
      <w:r>
        <w:t xml:space="preserve">the need for genuine and collaborative partnerships in future projects to ensure</w:t>
      </w:r>
      <w:r>
        <w:t xml:space="preserve"> </w:t>
      </w:r>
      <w:r>
        <w:t xml:space="preserve">respectful and sustainable stewardship.</w:t>
      </w:r>
    </w:p>
    <w:p>
      <w:pPr>
        <w:pStyle w:val="BodyText"/>
      </w:pPr>
      <w:r>
        <w:t xml:space="preserve">Methodologically, the high uncertainty observed in light-sensitive redwood basal</w:t>
      </w:r>
      <w:r>
        <w:t xml:space="preserve"> </w:t>
      </w:r>
      <w:r>
        <w:t xml:space="preserve">area, as well as in vegetation fuels suggests that future modeling efforts may</w:t>
      </w:r>
      <w:r>
        <w:t xml:space="preserve"> </w:t>
      </w:r>
      <w:r>
        <w:t xml:space="preserve">need to explore other important sources of variation, like aspect.</w:t>
      </w:r>
    </w:p>
    <w:bookmarkEnd w:id="134"/>
    <w:bookmarkStart w:id="321" w:name="references-1"/>
    <w:p>
      <w:pPr>
        <w:pStyle w:val="Heading1"/>
      </w:pPr>
      <w:r>
        <w:t xml:space="preserve">7. References</w:t>
      </w:r>
    </w:p>
    <w:bookmarkStart w:id="320" w:name="refs"/>
    <w:bookmarkStart w:id="136"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5">
        <w:r>
          <w:rPr>
            <w:rStyle w:val="Hyperlink"/>
          </w:rPr>
          <w:t xml:space="preserve">https://doi.org/10.1016/j.foreco.2005.01.034</w:t>
        </w:r>
      </w:hyperlink>
    </w:p>
    <w:bookmarkEnd w:id="136"/>
    <w:bookmarkStart w:id="137"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7"/>
    <w:bookmarkStart w:id="138"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8"/>
    <w:bookmarkStart w:id="140"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9">
        <w:r>
          <w:rPr>
            <w:rStyle w:val="Hyperlink"/>
          </w:rPr>
          <w:t xml:space="preserve">https://doi.org/10.18637/jss.v111.i09</w:t>
        </w:r>
      </w:hyperlink>
    </w:p>
    <w:bookmarkEnd w:id="140"/>
    <w:bookmarkStart w:id="142"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41">
        <w:r>
          <w:rPr>
            <w:rStyle w:val="Hyperlink"/>
          </w:rPr>
          <w:t xml:space="preserve">https://doi.org/10.1016/j.foreco.2008.11.028</w:t>
        </w:r>
      </w:hyperlink>
    </w:p>
    <w:bookmarkEnd w:id="142"/>
    <w:bookmarkStart w:id="143"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43"/>
    <w:bookmarkStart w:id="144"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4"/>
    <w:bookmarkStart w:id="146"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5">
        <w:r>
          <w:rPr>
            <w:rStyle w:val="Hyperlink"/>
          </w:rPr>
          <w:t xml:space="preserve">https://doi.org/10.1186/s13717-019-0181-9</w:t>
        </w:r>
      </w:hyperlink>
    </w:p>
    <w:bookmarkEnd w:id="146"/>
    <w:bookmarkStart w:id="148"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7">
        <w:r>
          <w:rPr>
            <w:rStyle w:val="Hyperlink"/>
          </w:rPr>
          <w:t xml:space="preserve">https://doi.org/10.1139/X06-271</w:t>
        </w:r>
      </w:hyperlink>
    </w:p>
    <w:bookmarkEnd w:id="148"/>
    <w:bookmarkStart w:id="150"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9">
        <w:r>
          <w:rPr>
            <w:rStyle w:val="Hyperlink"/>
          </w:rPr>
          <w:t xml:space="preserve">https://doi.org/10.1093/wjaf/24.1.24</w:t>
        </w:r>
      </w:hyperlink>
    </w:p>
    <w:bookmarkEnd w:id="150"/>
    <w:bookmarkStart w:id="152"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51">
        <w:r>
          <w:rPr>
            <w:rStyle w:val="Hyperlink"/>
          </w:rPr>
          <w:t xml:space="preserve">https://www.fs.usda.gov/treesearch/pubs/55449</w:t>
        </w:r>
      </w:hyperlink>
    </w:p>
    <w:bookmarkEnd w:id="152"/>
    <w:bookmarkStart w:id="154"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53">
        <w:r>
          <w:rPr>
            <w:rStyle w:val="Hyperlink"/>
          </w:rPr>
          <w:t xml:space="preserve">https://doi.org/10.1007/s11056-018-9636-6</w:t>
        </w:r>
      </w:hyperlink>
    </w:p>
    <w:bookmarkEnd w:id="154"/>
    <w:bookmarkStart w:id="156"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5">
        <w:r>
          <w:rPr>
            <w:rStyle w:val="Hyperlink"/>
          </w:rPr>
          <w:t xml:space="preserve">https://doi.org/10.1093/forsci/fxaa031</w:t>
        </w:r>
      </w:hyperlink>
    </w:p>
    <w:bookmarkEnd w:id="156"/>
    <w:bookmarkStart w:id="157"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7"/>
    <w:bookmarkStart w:id="158"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8"/>
    <w:bookmarkStart w:id="160"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9">
        <w:r>
          <w:rPr>
            <w:rStyle w:val="Hyperlink"/>
          </w:rPr>
          <w:t xml:space="preserve">https://doi.org/10.32614/RJ-2017-066</w:t>
        </w:r>
      </w:hyperlink>
    </w:p>
    <w:bookmarkEnd w:id="160"/>
    <w:bookmarkStart w:id="161"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61"/>
    <w:bookmarkStart w:id="163"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62">
        <w:r>
          <w:rPr>
            <w:rStyle w:val="Hyperlink"/>
          </w:rPr>
          <w:t xml:space="preserve">https://doi.org/10.1016/j.foreco.2022.120353</w:t>
        </w:r>
      </w:hyperlink>
    </w:p>
    <w:bookmarkEnd w:id="163"/>
    <w:bookmarkStart w:id="165"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4">
        <w:r>
          <w:rPr>
            <w:rStyle w:val="Hyperlink"/>
          </w:rPr>
          <w:t xml:space="preserve">https://doi.org/10.1016/j.foreco.2016.09.010</w:t>
        </w:r>
      </w:hyperlink>
    </w:p>
    <w:bookmarkEnd w:id="165"/>
    <w:bookmarkStart w:id="167"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6">
        <w:r>
          <w:rPr>
            <w:rStyle w:val="Hyperlink"/>
          </w:rPr>
          <w:t xml:space="preserve">https://doi.org/10.1111/rec.12681</w:t>
        </w:r>
      </w:hyperlink>
    </w:p>
    <w:bookmarkEnd w:id="167"/>
    <w:bookmarkStart w:id="169"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8">
        <w:r>
          <w:rPr>
            <w:rStyle w:val="Hyperlink"/>
          </w:rPr>
          <w:t xml:space="preserve">https://doi.org/10.1139/cjfr-2022-0214</w:t>
        </w:r>
      </w:hyperlink>
    </w:p>
    <w:bookmarkEnd w:id="169"/>
    <w:bookmarkStart w:id="171"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70">
        <w:r>
          <w:rPr>
            <w:rStyle w:val="Hyperlink"/>
          </w:rPr>
          <w:t xml:space="preserve">https://doi.org/10.1007/BF02858075</w:t>
        </w:r>
      </w:hyperlink>
    </w:p>
    <w:bookmarkEnd w:id="171"/>
    <w:bookmarkStart w:id="173"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72">
        <w:r>
          <w:rPr>
            <w:rStyle w:val="Hyperlink"/>
          </w:rPr>
          <w:t xml:space="preserve">https://doi.org/10.1139/x26-066</w:t>
        </w:r>
      </w:hyperlink>
    </w:p>
    <w:bookmarkEnd w:id="173"/>
    <w:bookmarkStart w:id="174"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4"/>
    <w:bookmarkStart w:id="176"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5">
        <w:r>
          <w:rPr>
            <w:rStyle w:val="Hyperlink"/>
          </w:rPr>
          <w:t xml:space="preserve">https://doi.org/10.1139/x93-143</w:t>
        </w:r>
      </w:hyperlink>
    </w:p>
    <w:bookmarkEnd w:id="176"/>
    <w:bookmarkStart w:id="177"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7"/>
    <w:bookmarkStart w:id="178"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8"/>
    <w:bookmarkStart w:id="180"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9">
        <w:r>
          <w:rPr>
            <w:rStyle w:val="Hyperlink"/>
          </w:rPr>
          <w:t xml:space="preserve">https://doi.org/10.1016/j.foreco.2014.06.025</w:t>
        </w:r>
      </w:hyperlink>
    </w:p>
    <w:bookmarkEnd w:id="180"/>
    <w:bookmarkStart w:id="182"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81">
        <w:r>
          <w:rPr>
            <w:rStyle w:val="Hyperlink"/>
          </w:rPr>
          <w:t xml:space="preserve">https://www.fs.usda.gov/database/feis/plants/tree/notden/all.html</w:t>
        </w:r>
      </w:hyperlink>
    </w:p>
    <w:bookmarkEnd w:id="182"/>
    <w:bookmarkStart w:id="184"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184"/>
    <w:bookmarkStart w:id="186"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5">
        <w:r>
          <w:rPr>
            <w:rStyle w:val="Hyperlink"/>
          </w:rPr>
          <w:t xml:space="preserve">https://doi.org/10.1023/A:1006502107495</w:t>
        </w:r>
      </w:hyperlink>
    </w:p>
    <w:bookmarkEnd w:id="186"/>
    <w:bookmarkStart w:id="188"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7">
        <w:r>
          <w:rPr>
            <w:rStyle w:val="Hyperlink"/>
          </w:rPr>
          <w:t xml:space="preserve">https://scholarworks.calstate.edu/concern/theses/ws859j014</w:t>
        </w:r>
      </w:hyperlink>
    </w:p>
    <w:bookmarkEnd w:id="188"/>
    <w:bookmarkStart w:id="190"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9">
        <w:r>
          <w:rPr>
            <w:rStyle w:val="Hyperlink"/>
          </w:rPr>
          <w:t xml:space="preserve">https://doi.org/10.1139/x06-206</w:t>
        </w:r>
      </w:hyperlink>
    </w:p>
    <w:bookmarkEnd w:id="190"/>
    <w:bookmarkStart w:id="191"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91"/>
    <w:bookmarkStart w:id="193"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92">
        <w:r>
          <w:rPr>
            <w:rStyle w:val="Hyperlink"/>
          </w:rPr>
          <w:t xml:space="preserve">https://www.elibrary.ru/item.asp?id=7397149</w:t>
        </w:r>
      </w:hyperlink>
    </w:p>
    <w:bookmarkEnd w:id="193"/>
    <w:bookmarkStart w:id="195"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4">
        <w:r>
          <w:rPr>
            <w:rStyle w:val="Hyperlink"/>
          </w:rPr>
          <w:t xml:space="preserve">https://www.tandfonline.com/doi/abs/10.1080/21580103.2020.1712264</w:t>
        </w:r>
      </w:hyperlink>
    </w:p>
    <w:bookmarkEnd w:id="195"/>
    <w:bookmarkStart w:id="197"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6">
        <w:r>
          <w:rPr>
            <w:rStyle w:val="Hyperlink"/>
          </w:rPr>
          <w:t xml:space="preserve">https://doi.org/10.1093/wjaf/7.4.103</w:t>
        </w:r>
      </w:hyperlink>
    </w:p>
    <w:bookmarkEnd w:id="197"/>
    <w:bookmarkStart w:id="199"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8">
        <w:r>
          <w:rPr>
            <w:rStyle w:val="Hyperlink"/>
          </w:rPr>
          <w:t xml:space="preserve">https://CRAN.R-project.org/package=DHARMa</w:t>
        </w:r>
      </w:hyperlink>
    </w:p>
    <w:bookmarkEnd w:id="199"/>
    <w:bookmarkStart w:id="201" w:name="ref-heissMarginalConditionalEffects2022"/>
    <w:p>
      <w:pPr>
        <w:pStyle w:val="Bibliography"/>
      </w:pPr>
      <w:r>
        <w:t xml:space="preserve">Heiss, A. (2022, November 29).</w:t>
      </w:r>
      <w:r>
        <w:t xml:space="preserve"> </w:t>
      </w:r>
      <w:r>
        <w:rPr>
          <w:i/>
          <w:iCs/>
        </w:rPr>
        <w:t xml:space="preserve">Marginal and conditional effects for</w:t>
      </w:r>
      <w:r>
        <w:rPr>
          <w:i/>
          <w:iCs/>
        </w:rPr>
        <w:t xml:space="preserve"> </w:t>
      </w:r>
      <w:r>
        <w:rPr>
          <w:i/>
          <w:iCs/>
        </w:rPr>
        <w:t xml:space="preserve">GLMMs</w:t>
      </w:r>
      <w:r>
        <w:rPr>
          <w:i/>
          <w:iCs/>
        </w:rPr>
        <w:t xml:space="preserve"> </w:t>
      </w:r>
      <w:r>
        <w:rPr>
          <w:i/>
          <w:iCs/>
        </w:rPr>
        <w:t xml:space="preserve">with {marginaleffects}</w:t>
      </w:r>
      <w:r>
        <w:t xml:space="preserve">.</w:t>
      </w:r>
      <w:r>
        <w:t xml:space="preserve"> </w:t>
      </w:r>
      <w:hyperlink r:id="rId200">
        <w:r>
          <w:rPr>
            <w:rStyle w:val="Hyperlink"/>
          </w:rPr>
          <w:t xml:space="preserve">https://www.andrewheiss.com/blog/2022/11/29/conditional-marginal-marginaleffects/</w:t>
        </w:r>
      </w:hyperlink>
    </w:p>
    <w:bookmarkEnd w:id="201"/>
    <w:bookmarkStart w:id="203"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202">
        <w:r>
          <w:rPr>
            <w:rStyle w:val="Hyperlink"/>
          </w:rPr>
          <w:t xml:space="preserve">https://www.frontiersin.org/articles/10.3389/ffgc.2020.00078</w:t>
        </w:r>
      </w:hyperlink>
    </w:p>
    <w:bookmarkEnd w:id="203"/>
    <w:bookmarkStart w:id="205"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4">
        <w:r>
          <w:rPr>
            <w:rStyle w:val="Hyperlink"/>
          </w:rPr>
          <w:t xml:space="preserve">https://academic.oup.com/jof/article-abstract/83/8/494/4647048</w:t>
        </w:r>
      </w:hyperlink>
    </w:p>
    <w:bookmarkEnd w:id="205"/>
    <w:bookmarkStart w:id="207"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6">
        <w:r>
          <w:rPr>
            <w:rStyle w:val="Hyperlink"/>
          </w:rPr>
          <w:t xml:space="preserve">https://books.google.com?id=x3tw07l1IQQC</w:t>
        </w:r>
      </w:hyperlink>
    </w:p>
    <w:bookmarkEnd w:id="207"/>
    <w:bookmarkStart w:id="209" w:name="ref-kaneStandConditionsAlter2021"/>
    <w:p>
      <w:pPr>
        <w:pStyle w:val="Bibliography"/>
      </w:pPr>
      <w:r>
        <w:t xml:space="preserve">Kane, J. M. (2021). Stand conditions alter seasonal microclimate and dead fuel moisture in a</w:t>
      </w:r>
      <w:r>
        <w:t xml:space="preserve"> </w:t>
      </w:r>
      <w:r>
        <w:t xml:space="preserve">Northwestern California</w:t>
      </w:r>
      <w:r>
        <w:t xml:space="preserve"> </w:t>
      </w:r>
      <w:r>
        <w:t xml:space="preserve">oak woodland.</w:t>
      </w:r>
      <w:r>
        <w:t xml:space="preserve"> </w:t>
      </w:r>
      <w:r>
        <w:rPr>
          <w:i/>
          <w:iCs/>
        </w:rPr>
        <w:t xml:space="preserve">Agricultural and Forest Meteorology</w:t>
      </w:r>
      <w:r>
        <w:t xml:space="preserve">,</w:t>
      </w:r>
      <w:r>
        <w:t xml:space="preserve"> </w:t>
      </w:r>
      <w:r>
        <w:rPr>
          <w:i/>
          <w:iCs/>
        </w:rPr>
        <w:t xml:space="preserve">308–309</w:t>
      </w:r>
      <w:r>
        <w:t xml:space="preserve">, 108602.</w:t>
      </w:r>
      <w:r>
        <w:t xml:space="preserve"> </w:t>
      </w:r>
      <w:hyperlink r:id="rId208">
        <w:r>
          <w:rPr>
            <w:rStyle w:val="Hyperlink"/>
          </w:rPr>
          <w:t xml:space="preserve">https://doi.org/10.1016/j.agrformet.2021.108602</w:t>
        </w:r>
      </w:hyperlink>
    </w:p>
    <w:bookmarkEnd w:id="209"/>
    <w:bookmarkStart w:id="211"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10">
        <w:r>
          <w:rPr>
            <w:rStyle w:val="Hyperlink"/>
          </w:rPr>
          <w:t xml:space="preserve">https://doi.org/10.1139/X08-003</w:t>
        </w:r>
      </w:hyperlink>
    </w:p>
    <w:bookmarkEnd w:id="211"/>
    <w:bookmarkStart w:id="213" w:name="ref-keaneMappingWildlandFuels2001"/>
    <w:p>
      <w:pPr>
        <w:pStyle w:val="Bibliography"/>
      </w:pPr>
      <w:r>
        <w:t xml:space="preserve">Keane, R. E., Burgan, R., &amp; Wagtendonk, J. van. (2001). Mapping wildland fuels for fire management across multiple scales:</w:t>
      </w:r>
      <w:r>
        <w:t xml:space="preserve"> </w:t>
      </w:r>
      <w:r>
        <w:t xml:space="preserve">Integrating</w:t>
      </w:r>
      <w:r>
        <w:t xml:space="preserve"> </w:t>
      </w:r>
      <w:r>
        <w:t xml:space="preserve">remote sensing,</w:t>
      </w:r>
      <w:r>
        <w:t xml:space="preserve"> </w:t>
      </w:r>
      <w:r>
        <w:t xml:space="preserve">GIS</w:t>
      </w:r>
      <w:r>
        <w:t xml:space="preserve">, and biophysical modeling.</w:t>
      </w:r>
      <w:r>
        <w:t xml:space="preserve"> </w:t>
      </w:r>
      <w:r>
        <w:rPr>
          <w:i/>
          <w:iCs/>
        </w:rPr>
        <w:t xml:space="preserve">International Journal of Wildland Fire</w:t>
      </w:r>
      <w:r>
        <w:t xml:space="preserve">,</w:t>
      </w:r>
      <w:r>
        <w:t xml:space="preserve"> </w:t>
      </w:r>
      <w:r>
        <w:rPr>
          <w:i/>
          <w:iCs/>
        </w:rPr>
        <w:t xml:space="preserve">10</w:t>
      </w:r>
      <w:r>
        <w:t xml:space="preserve">(4), 301–319.</w:t>
      </w:r>
      <w:r>
        <w:t xml:space="preserve"> </w:t>
      </w:r>
      <w:hyperlink r:id="rId212">
        <w:r>
          <w:rPr>
            <w:rStyle w:val="Hyperlink"/>
          </w:rPr>
          <w:t xml:space="preserve">https://doi.org/10.1071/wf01028</w:t>
        </w:r>
      </w:hyperlink>
    </w:p>
    <w:bookmarkEnd w:id="213"/>
    <w:bookmarkStart w:id="215" w:name="ref-keaneSpatialScalingWildland2012"/>
    <w:p>
      <w:pPr>
        <w:pStyle w:val="Bibliography"/>
      </w:pPr>
      <w:r>
        <w:t xml:space="preserve">Keane, R. E., Gray, K., Bacciu, V., &amp; Leirfallom, S. (2012). Spatial scaling of wildland fuels for six forest and rangeland ecosystems of the northern</w:t>
      </w:r>
      <w:r>
        <w:t xml:space="preserve"> </w:t>
      </w:r>
      <w:r>
        <w:t xml:space="preserve">Rocky Mountains</w:t>
      </w:r>
      <w:r>
        <w:t xml:space="preserve">,</w:t>
      </w:r>
      <w:r>
        <w:t xml:space="preserve"> </w:t>
      </w:r>
      <w:r>
        <w:t xml:space="preserve">USA</w:t>
      </w:r>
      <w:r>
        <w:t xml:space="preserve">.</w:t>
      </w:r>
      <w:r>
        <w:t xml:space="preserve"> </w:t>
      </w:r>
      <w:r>
        <w:rPr>
          <w:i/>
          <w:iCs/>
        </w:rPr>
        <w:t xml:space="preserve">Landscape Ecology</w:t>
      </w:r>
      <w:r>
        <w:t xml:space="preserve">,</w:t>
      </w:r>
      <w:r>
        <w:t xml:space="preserve"> </w:t>
      </w:r>
      <w:r>
        <w:rPr>
          <w:i/>
          <w:iCs/>
        </w:rPr>
        <w:t xml:space="preserve">27</w:t>
      </w:r>
      <w:r>
        <w:t xml:space="preserve">(8), 1213–1234.</w:t>
      </w:r>
      <w:r>
        <w:t xml:space="preserve"> </w:t>
      </w:r>
      <w:hyperlink r:id="rId214">
        <w:r>
          <w:rPr>
            <w:rStyle w:val="Hyperlink"/>
          </w:rPr>
          <w:t xml:space="preserve">https://doi.org/10.1007/s10980-012-9773-9</w:t>
        </w:r>
      </w:hyperlink>
    </w:p>
    <w:bookmarkEnd w:id="215"/>
    <w:bookmarkStart w:id="21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16"/>
    <w:bookmarkStart w:id="21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17">
        <w:r>
          <w:rPr>
            <w:rStyle w:val="Hyperlink"/>
          </w:rPr>
          <w:t xml:space="preserve">https://doi.org/10.1007/s11056-015-9470-z</w:t>
        </w:r>
      </w:hyperlink>
    </w:p>
    <w:bookmarkEnd w:id="218"/>
    <w:bookmarkStart w:id="22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19">
        <w:r>
          <w:rPr>
            <w:rStyle w:val="Hyperlink"/>
          </w:rPr>
          <w:t xml:space="preserve">https://doi.org/10.1016/j.foreco.2014.01.045</w:t>
        </w:r>
      </w:hyperlink>
    </w:p>
    <w:bookmarkEnd w:id="220"/>
    <w:bookmarkStart w:id="222"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21">
        <w:r>
          <w:rPr>
            <w:rStyle w:val="Hyperlink"/>
          </w:rPr>
          <w:t xml:space="preserve">https://doi.org/10.1093/jof/38.9.729</w:t>
        </w:r>
      </w:hyperlink>
    </w:p>
    <w:bookmarkEnd w:id="222"/>
    <w:bookmarkStart w:id="22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23">
        <w:r>
          <w:rPr>
            <w:rStyle w:val="Hyperlink"/>
          </w:rPr>
          <w:t xml:space="preserve">https://doi.org/10.5849/FS-2016-029R2</w:t>
        </w:r>
      </w:hyperlink>
    </w:p>
    <w:bookmarkEnd w:id="224"/>
    <w:bookmarkStart w:id="226"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25">
        <w:r>
          <w:rPr>
            <w:rStyle w:val="Hyperlink"/>
          </w:rPr>
          <w:t xml:space="preserve">https://doi.org/10.1016/j.foreco.2010.02.022</w:t>
        </w:r>
      </w:hyperlink>
    </w:p>
    <w:bookmarkEnd w:id="226"/>
    <w:bookmarkStart w:id="228"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27">
        <w:r>
          <w:rPr>
            <w:rStyle w:val="Hyperlink"/>
          </w:rPr>
          <w:t xml:space="preserve">https://CRAN.R-project.org/package=emmeans</w:t>
        </w:r>
      </w:hyperlink>
    </w:p>
    <w:bookmarkEnd w:id="228"/>
    <w:bookmarkStart w:id="23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29">
        <w:r>
          <w:rPr>
            <w:rStyle w:val="Hyperlink"/>
          </w:rPr>
          <w:t xml:space="preserve">https://doi.org/10.1007/s00442-002-0986-5</w:t>
        </w:r>
      </w:hyperlink>
    </w:p>
    <w:bookmarkEnd w:id="230"/>
    <w:bookmarkStart w:id="232"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31">
        <w:r>
          <w:rPr>
            <w:rStyle w:val="Hyperlink"/>
          </w:rPr>
          <w:t xml:space="preserve">https://www.google.com/books/edition/Sprout_Regeneration_of_Young_growth_Redw/48fMLtW9rRgC</w:t>
        </w:r>
      </w:hyperlink>
    </w:p>
    <w:bookmarkEnd w:id="232"/>
    <w:bookmarkStart w:id="234"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33">
        <w:r>
          <w:rPr>
            <w:rStyle w:val="Hyperlink"/>
          </w:rPr>
          <w:t xml:space="preserve">https://catalog.hathitrust.org/Record/010837951</w:t>
        </w:r>
      </w:hyperlink>
    </w:p>
    <w:bookmarkEnd w:id="234"/>
    <w:bookmarkStart w:id="23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35">
        <w:r>
          <w:rPr>
            <w:rStyle w:val="Hyperlink"/>
          </w:rPr>
          <w:t xml:space="preserve">https://doi.org/10.1016/j.foreco.2009.07.008</w:t>
        </w:r>
      </w:hyperlink>
    </w:p>
    <w:bookmarkEnd w:id="236"/>
    <w:bookmarkStart w:id="237"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83">
        <w:r>
          <w:rPr>
            <w:rStyle w:val="Hyperlink"/>
          </w:rPr>
          <w:t xml:space="preserve">https://doi.org/10.2737/RMRS-GTR-164</w:t>
        </w:r>
      </w:hyperlink>
    </w:p>
    <w:bookmarkEnd w:id="237"/>
    <w:bookmarkStart w:id="239"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38">
        <w:r>
          <w:rPr>
            <w:rStyle w:val="Hyperlink"/>
          </w:rPr>
          <w:t xml:space="preserve">https://doi.org/10.2737/RMRS-RP-103</w:t>
        </w:r>
      </w:hyperlink>
    </w:p>
    <w:bookmarkEnd w:id="239"/>
    <w:bookmarkStart w:id="241"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40">
        <w:r>
          <w:rPr>
            <w:rStyle w:val="Hyperlink"/>
          </w:rPr>
          <w:t xml:space="preserve">https://ir.library.oregonstate.edu/downloads/70795d72s</w:t>
        </w:r>
      </w:hyperlink>
    </w:p>
    <w:bookmarkEnd w:id="241"/>
    <w:bookmarkStart w:id="24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42"/>
    <w:bookmarkStart w:id="24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43"/>
    <w:bookmarkStart w:id="24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44">
        <w:r>
          <w:rPr>
            <w:rStyle w:val="Hyperlink"/>
          </w:rPr>
          <w:t xml:space="preserve">https://doi.org/10.5558/tfc78397-3</w:t>
        </w:r>
      </w:hyperlink>
    </w:p>
    <w:bookmarkEnd w:id="245"/>
    <w:bookmarkStart w:id="247" w:name="ref-mumaConvertingCoastRedwood2019"/>
    <w:p>
      <w:pPr>
        <w:pStyle w:val="Bibliography"/>
      </w:pPr>
      <w:r>
        <w:t xml:space="preserve">Muma, R.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46">
        <w:r>
          <w:rPr>
            <w:rStyle w:val="Hyperlink"/>
          </w:rPr>
          <w:t xml:space="preserve">https://digitalcommons.humboldt.edu/etd/269</w:t>
        </w:r>
      </w:hyperlink>
    </w:p>
    <w:bookmarkEnd w:id="247"/>
    <w:bookmarkStart w:id="24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48">
        <w:r>
          <w:rPr>
            <w:rStyle w:val="Hyperlink"/>
          </w:rPr>
          <w:t xml:space="preserve">https://doi.org/10.1016/j.foreco.2022.120236</w:t>
        </w:r>
      </w:hyperlink>
    </w:p>
    <w:bookmarkEnd w:id="249"/>
    <w:bookmarkStart w:id="251"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50">
        <w:r>
          <w:rPr>
            <w:rStyle w:val="Hyperlink"/>
          </w:rPr>
          <w:t xml:space="preserve">https://www.fs.usda.gov/research/treesearch/37978</w:t>
        </w:r>
      </w:hyperlink>
    </w:p>
    <w:bookmarkEnd w:id="251"/>
    <w:bookmarkStart w:id="25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52">
        <w:r>
          <w:rPr>
            <w:rStyle w:val="Hyperlink"/>
          </w:rPr>
          <w:t xml:space="preserve">https://doi.org/10.1016/j.foreco.2022.120136</w:t>
        </w:r>
      </w:hyperlink>
    </w:p>
    <w:bookmarkEnd w:id="253"/>
    <w:bookmarkStart w:id="25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54">
        <w:r>
          <w:rPr>
            <w:rStyle w:val="Hyperlink"/>
          </w:rPr>
          <w:t xml:space="preserve">https://doi.org/10.1002/ece3.3737</w:t>
        </w:r>
      </w:hyperlink>
    </w:p>
    <w:bookmarkEnd w:id="255"/>
    <w:bookmarkStart w:id="256"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56"/>
    <w:bookmarkStart w:id="25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57">
        <w:r>
          <w:rPr>
            <w:rStyle w:val="Hyperlink"/>
          </w:rPr>
          <w:t xml:space="preserve">https://doi.org/10.1093/jofore/fvab026</w:t>
        </w:r>
      </w:hyperlink>
    </w:p>
    <w:bookmarkEnd w:id="258"/>
    <w:bookmarkStart w:id="26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59">
        <w:r>
          <w:rPr>
            <w:rStyle w:val="Hyperlink"/>
          </w:rPr>
          <w:t xml:space="preserve">https://doi.org/10.1093/jof/96.7.4a</w:t>
        </w:r>
      </w:hyperlink>
    </w:p>
    <w:bookmarkEnd w:id="260"/>
    <w:bookmarkStart w:id="262"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61">
        <w:r>
          <w:rPr>
            <w:rStyle w:val="Hyperlink"/>
          </w:rPr>
          <w:t xml:space="preserve">https://doi.org/10.1016/S0378-1127(00)00698-8</w:t>
        </w:r>
      </w:hyperlink>
    </w:p>
    <w:bookmarkEnd w:id="262"/>
    <w:bookmarkStart w:id="26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63">
        <w:r>
          <w:rPr>
            <w:rStyle w:val="Hyperlink"/>
          </w:rPr>
          <w:t xml:space="preserve">https://doi.org/10.1093/forestry/75.4.339</w:t>
        </w:r>
      </w:hyperlink>
    </w:p>
    <w:bookmarkEnd w:id="264"/>
    <w:bookmarkStart w:id="266"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65">
        <w:r>
          <w:rPr>
            <w:rStyle w:val="Hyperlink"/>
          </w:rPr>
          <w:t xml:space="preserve">https://doi.org/10.1007/s10310-009-0166-0</w:t>
        </w:r>
      </w:hyperlink>
    </w:p>
    <w:bookmarkEnd w:id="266"/>
    <w:bookmarkStart w:id="26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67">
        <w:r>
          <w:rPr>
            <w:rStyle w:val="Hyperlink"/>
          </w:rPr>
          <w:t xml:space="preserve">https://doi.org/10.3390/f8050144</w:t>
        </w:r>
      </w:hyperlink>
    </w:p>
    <w:bookmarkEnd w:id="268"/>
    <w:bookmarkStart w:id="27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69">
        <w:r>
          <w:rPr>
            <w:rStyle w:val="Hyperlink"/>
          </w:rPr>
          <w:t xml:space="preserve">https://doi.org/10.1016/j.foreco.2007.03.062</w:t>
        </w:r>
      </w:hyperlink>
    </w:p>
    <w:bookmarkEnd w:id="270"/>
    <w:bookmarkStart w:id="27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71">
        <w:r>
          <w:rPr>
            <w:rStyle w:val="Hyperlink"/>
          </w:rPr>
          <w:t xml:space="preserve">https://doi.org/10.1016/j.foreco.2021.119361</w:t>
        </w:r>
      </w:hyperlink>
    </w:p>
    <w:bookmarkEnd w:id="272"/>
    <w:bookmarkStart w:id="273"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73"/>
    <w:bookmarkStart w:id="275"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74">
        <w:r>
          <w:rPr>
            <w:rStyle w:val="Hyperlink"/>
          </w:rPr>
          <w:t xml:space="preserve">https://doi.org/10.1029/2020GL089858</w:t>
        </w:r>
      </w:hyperlink>
    </w:p>
    <w:bookmarkEnd w:id="275"/>
    <w:bookmarkStart w:id="277" w:name="Xa7718103be4338156d88a8097714e0b7e07ff02"/>
    <w:p>
      <w:pPr>
        <w:pStyle w:val="Bibliography"/>
      </w:pPr>
      <w:r>
        <w:t xml:space="preserve">Pillers, M. D., &amp; Stuart, J. D. (1993). Leaf-litter accretion and decomposition in interior and coastal old-growth redwood stands.</w:t>
      </w:r>
      <w:r>
        <w:t xml:space="preserve"> </w:t>
      </w:r>
      <w:r>
        <w:rPr>
          <w:i/>
          <w:iCs/>
        </w:rPr>
        <w:t xml:space="preserve">Canadian Journal of Forest Research</w:t>
      </w:r>
      <w:r>
        <w:t xml:space="preserve">,</w:t>
      </w:r>
      <w:r>
        <w:t xml:space="preserve"> </w:t>
      </w:r>
      <w:r>
        <w:rPr>
          <w:i/>
          <w:iCs/>
        </w:rPr>
        <w:t xml:space="preserve">23</w:t>
      </w:r>
      <w:r>
        <w:t xml:space="preserve">(3), 552–557.</w:t>
      </w:r>
      <w:r>
        <w:t xml:space="preserve"> </w:t>
      </w:r>
      <w:hyperlink r:id="rId276">
        <w:r>
          <w:rPr>
            <w:rStyle w:val="Hyperlink"/>
          </w:rPr>
          <w:t xml:space="preserve">https://doi.org/10.1139/x93-073</w:t>
        </w:r>
      </w:hyperlink>
    </w:p>
    <w:bookmarkEnd w:id="277"/>
    <w:bookmarkStart w:id="279"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78">
        <w:r>
          <w:rPr>
            <w:rStyle w:val="Hyperlink"/>
          </w:rPr>
          <w:t xml:space="preserve">https://doi.org/10.1093/forestscience/16.3.339</w:t>
        </w:r>
      </w:hyperlink>
    </w:p>
    <w:bookmarkEnd w:id="279"/>
    <w:bookmarkStart w:id="281"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80">
        <w:r>
          <w:rPr>
            <w:rStyle w:val="Hyperlink"/>
          </w:rPr>
          <w:t xml:space="preserve">https://www.fs.usda.gov/treesearch/pubs/60134</w:t>
        </w:r>
      </w:hyperlink>
    </w:p>
    <w:bookmarkEnd w:id="281"/>
    <w:bookmarkStart w:id="283"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82">
        <w:r>
          <w:rPr>
            <w:rStyle w:val="Hyperlink"/>
          </w:rPr>
          <w:t xml:space="preserve">https://doi.org/10.2737/PSW-GTR-256</w:t>
        </w:r>
      </w:hyperlink>
    </w:p>
    <w:bookmarkEnd w:id="283"/>
    <w:bookmarkStart w:id="285"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84">
        <w:r>
          <w:rPr>
            <w:rStyle w:val="Hyperlink"/>
          </w:rPr>
          <w:t xml:space="preserve">https://doi.org/10.3390/su152316409</w:t>
        </w:r>
      </w:hyperlink>
    </w:p>
    <w:bookmarkEnd w:id="285"/>
    <w:bookmarkStart w:id="287"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86">
        <w:r>
          <w:rPr>
            <w:rStyle w:val="Hyperlink"/>
          </w:rPr>
          <w:t xml:space="preserve">https://doi.org/10.1016/j.foreco.2013.04.015</w:t>
        </w:r>
      </w:hyperlink>
    </w:p>
    <w:bookmarkEnd w:id="287"/>
    <w:bookmarkStart w:id="288"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88"/>
    <w:bookmarkStart w:id="290"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89">
        <w:r>
          <w:rPr>
            <w:rStyle w:val="Hyperlink"/>
          </w:rPr>
          <w:t xml:space="preserve">https://doi.org/10.1093/forestry/75.4.329</w:t>
        </w:r>
      </w:hyperlink>
    </w:p>
    <w:bookmarkEnd w:id="290"/>
    <w:bookmarkStart w:id="291"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91"/>
    <w:bookmarkStart w:id="293"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92">
        <w:r>
          <w:rPr>
            <w:rStyle w:val="Hyperlink"/>
          </w:rPr>
          <w:t xml:space="preserve">https://doi.org/10.1016/j.foreco.2012.08.030</w:t>
        </w:r>
      </w:hyperlink>
    </w:p>
    <w:bookmarkEnd w:id="293"/>
    <w:bookmarkStart w:id="295"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94">
        <w:r>
          <w:rPr>
            <w:rStyle w:val="Hyperlink"/>
          </w:rPr>
          <w:t xml:space="preserve">https://esajournals.onlinelibrary.wiley.com/doi/full/10.1890/07-1755.1</w:t>
        </w:r>
      </w:hyperlink>
    </w:p>
    <w:bookmarkEnd w:id="295"/>
    <w:bookmarkStart w:id="296"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96"/>
    <w:bookmarkStart w:id="298"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97">
        <w:r>
          <w:rPr>
            <w:rStyle w:val="Hyperlink"/>
          </w:rPr>
          <w:t xml:space="preserve">https://doi.org/10.1016/j.foreco.2016.05.018</w:t>
        </w:r>
      </w:hyperlink>
    </w:p>
    <w:bookmarkEnd w:id="298"/>
    <w:bookmarkStart w:id="299"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99"/>
    <w:bookmarkStart w:id="301"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300">
        <w:r>
          <w:rPr>
            <w:rStyle w:val="Hyperlink"/>
          </w:rPr>
          <w:t xml:space="preserve">https://doi.org/10.1007/s10530-017-1443-z</w:t>
        </w:r>
      </w:hyperlink>
    </w:p>
    <w:bookmarkEnd w:id="301"/>
    <w:bookmarkStart w:id="303"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302">
        <w:r>
          <w:rPr>
            <w:rStyle w:val="Hyperlink"/>
          </w:rPr>
          <w:t xml:space="preserve">https://doi.org/10.1016/j.foreco.2022.120602</w:t>
        </w:r>
      </w:hyperlink>
    </w:p>
    <w:bookmarkEnd w:id="303"/>
    <w:bookmarkStart w:id="305"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304">
        <w:r>
          <w:rPr>
            <w:rStyle w:val="Hyperlink"/>
          </w:rPr>
          <w:t xml:space="preserve">https://doi.org/10.1016/j.foreco.2008.01.025</w:t>
        </w:r>
      </w:hyperlink>
    </w:p>
    <w:bookmarkEnd w:id="305"/>
    <w:bookmarkStart w:id="307"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306">
        <w:r>
          <w:rPr>
            <w:rStyle w:val="Hyperlink"/>
          </w:rPr>
          <w:t xml:space="preserve">https://www.fs.usda.gov/research/treesearch/41828</w:t>
        </w:r>
      </w:hyperlink>
    </w:p>
    <w:bookmarkEnd w:id="307"/>
    <w:bookmarkStart w:id="309"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308">
        <w:r>
          <w:rPr>
            <w:rStyle w:val="Hyperlink"/>
          </w:rPr>
          <w:t xml:space="preserve">http://hilgardia.ucanr.edu/Abstract/?a=hilg.v54n08p017</w:t>
        </w:r>
      </w:hyperlink>
    </w:p>
    <w:bookmarkEnd w:id="309"/>
    <w:bookmarkStart w:id="311"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310">
        <w:r>
          <w:rPr>
            <w:rStyle w:val="Hyperlink"/>
          </w:rPr>
          <w:t xml:space="preserve">https://doi.org/10.1098/rstb.2015.0178</w:t>
        </w:r>
      </w:hyperlink>
    </w:p>
    <w:bookmarkEnd w:id="311"/>
    <w:bookmarkStart w:id="312"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12"/>
    <w:bookmarkStart w:id="314"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13">
        <w:r>
          <w:rPr>
            <w:rStyle w:val="Hyperlink"/>
          </w:rPr>
          <w:t xml:space="preserve">https://doi.org/10.3390/f16061000</w:t>
        </w:r>
      </w:hyperlink>
    </w:p>
    <w:bookmarkEnd w:id="314"/>
    <w:bookmarkStart w:id="316"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15">
        <w:r>
          <w:rPr>
            <w:rStyle w:val="Hyperlink"/>
          </w:rPr>
          <w:t xml:space="preserve">https://doi.org/10.1093/wjaf/12.1.21</w:t>
        </w:r>
      </w:hyperlink>
    </w:p>
    <w:bookmarkEnd w:id="316"/>
    <w:bookmarkStart w:id="318"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17">
        <w:r>
          <w:rPr>
            <w:rStyle w:val="Hyperlink"/>
          </w:rPr>
          <w:t xml:space="preserve">https://doi.org/10.1007/978-3-319-51727-8_13-1</w:t>
        </w:r>
      </w:hyperlink>
    </w:p>
    <w:bookmarkEnd w:id="318"/>
    <w:bookmarkStart w:id="319"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19"/>
    <w:bookmarkEnd w:id="320"/>
    <w:bookmarkEnd w:id="3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308" Target="http://hilgardia.ucanr.edu/Abstract/?a=hilg.v54n08p017" TargetMode="External" /><Relationship Type="http://schemas.openxmlformats.org/officeDocument/2006/relationships/hyperlink" Id="rId198" Target="https://CRAN.R-project.org/package=DHARMa" TargetMode="External" /><Relationship Type="http://schemas.openxmlformats.org/officeDocument/2006/relationships/hyperlink" Id="rId227" Target="https://CRAN.R-project.org/package=emmeans" TargetMode="External" /><Relationship Type="http://schemas.openxmlformats.org/officeDocument/2006/relationships/hyperlink" Id="rId204" Target="https://academic.oup.com/jof/article-abstract/83/8/494/4647048" TargetMode="External" /><Relationship Type="http://schemas.openxmlformats.org/officeDocument/2006/relationships/hyperlink" Id="rId206" Target="https://books.google.com?id=x3tw07l1IQQC" TargetMode="External" /><Relationship Type="http://schemas.openxmlformats.org/officeDocument/2006/relationships/hyperlink" Id="rId233" Target="https://catalog.hathitrust.org/Record/010837951" TargetMode="External" /><Relationship Type="http://schemas.openxmlformats.org/officeDocument/2006/relationships/hyperlink" Id="rId246" Target="https://digitalcommons.humboldt.edu/etd/269" TargetMode="External" /><Relationship Type="http://schemas.openxmlformats.org/officeDocument/2006/relationships/hyperlink" Id="rId254" Target="https://doi.org/10.1002/ece3.3737" TargetMode="External" /><Relationship Type="http://schemas.openxmlformats.org/officeDocument/2006/relationships/hyperlink" Id="rId317" Target="https://doi.org/10.1007/978-3-319-51727-8_13-1" TargetMode="External" /><Relationship Type="http://schemas.openxmlformats.org/officeDocument/2006/relationships/hyperlink" Id="rId170" Target="https://doi.org/10.1007/BF02858075" TargetMode="External" /><Relationship Type="http://schemas.openxmlformats.org/officeDocument/2006/relationships/hyperlink" Id="rId229" Target="https://doi.org/10.1007/s00442-002-0986-5" TargetMode="External" /><Relationship Type="http://schemas.openxmlformats.org/officeDocument/2006/relationships/hyperlink" Id="rId265" Target="https://doi.org/10.1007/s10310-009-0166-0" TargetMode="External" /><Relationship Type="http://schemas.openxmlformats.org/officeDocument/2006/relationships/hyperlink" Id="rId300" Target="https://doi.org/10.1007/s10530-017-1443-z" TargetMode="External" /><Relationship Type="http://schemas.openxmlformats.org/officeDocument/2006/relationships/hyperlink" Id="rId214" Target="https://doi.org/10.1007/s10980-012-9773-9" TargetMode="External" /><Relationship Type="http://schemas.openxmlformats.org/officeDocument/2006/relationships/hyperlink" Id="rId217" Target="https://doi.org/10.1007/s11056-015-9470-z" TargetMode="External" /><Relationship Type="http://schemas.openxmlformats.org/officeDocument/2006/relationships/hyperlink" Id="rId153" Target="https://doi.org/10.1007/s11056-018-9636-6" TargetMode="External" /><Relationship Type="http://schemas.openxmlformats.org/officeDocument/2006/relationships/hyperlink" Id="rId261" Target="https://doi.org/10.1016/S0378-1127(00)00698-8" TargetMode="External" /><Relationship Type="http://schemas.openxmlformats.org/officeDocument/2006/relationships/hyperlink" Id="rId208" Target="https://doi.org/10.1016/j.agrformet.2021.108602" TargetMode="External" /><Relationship Type="http://schemas.openxmlformats.org/officeDocument/2006/relationships/hyperlink" Id="rId135" Target="https://doi.org/10.1016/j.foreco.2005.01.034" TargetMode="External" /><Relationship Type="http://schemas.openxmlformats.org/officeDocument/2006/relationships/hyperlink" Id="rId269" Target="https://doi.org/10.1016/j.foreco.2007.03.062" TargetMode="External" /><Relationship Type="http://schemas.openxmlformats.org/officeDocument/2006/relationships/hyperlink" Id="rId304" Target="https://doi.org/10.1016/j.foreco.2008.01.025" TargetMode="External" /><Relationship Type="http://schemas.openxmlformats.org/officeDocument/2006/relationships/hyperlink" Id="rId141" Target="https://doi.org/10.1016/j.foreco.2008.11.028" TargetMode="External" /><Relationship Type="http://schemas.openxmlformats.org/officeDocument/2006/relationships/hyperlink" Id="rId235" Target="https://doi.org/10.1016/j.foreco.2009.07.008" TargetMode="External" /><Relationship Type="http://schemas.openxmlformats.org/officeDocument/2006/relationships/hyperlink" Id="rId225" Target="https://doi.org/10.1016/j.foreco.2010.02.022" TargetMode="External" /><Relationship Type="http://schemas.openxmlformats.org/officeDocument/2006/relationships/hyperlink" Id="rId292" Target="https://doi.org/10.1016/j.foreco.2012.08.030" TargetMode="External" /><Relationship Type="http://schemas.openxmlformats.org/officeDocument/2006/relationships/hyperlink" Id="rId286" Target="https://doi.org/10.1016/j.foreco.2013.04.015" TargetMode="External" /><Relationship Type="http://schemas.openxmlformats.org/officeDocument/2006/relationships/hyperlink" Id="rId219" Target="https://doi.org/10.1016/j.foreco.2014.01.045" TargetMode="External" /><Relationship Type="http://schemas.openxmlformats.org/officeDocument/2006/relationships/hyperlink" Id="rId179" Target="https://doi.org/10.1016/j.foreco.2014.06.025" TargetMode="External" /><Relationship Type="http://schemas.openxmlformats.org/officeDocument/2006/relationships/hyperlink" Id="rId297" Target="https://doi.org/10.1016/j.foreco.2016.05.018" TargetMode="External" /><Relationship Type="http://schemas.openxmlformats.org/officeDocument/2006/relationships/hyperlink" Id="rId164" Target="https://doi.org/10.1016/j.foreco.2016.09.010" TargetMode="External" /><Relationship Type="http://schemas.openxmlformats.org/officeDocument/2006/relationships/hyperlink" Id="rId271" Target="https://doi.org/10.1016/j.foreco.2021.119361" TargetMode="External" /><Relationship Type="http://schemas.openxmlformats.org/officeDocument/2006/relationships/hyperlink" Id="rId252" Target="https://doi.org/10.1016/j.foreco.2022.120136" TargetMode="External" /><Relationship Type="http://schemas.openxmlformats.org/officeDocument/2006/relationships/hyperlink" Id="rId248" Target="https://doi.org/10.1016/j.foreco.2022.120236" TargetMode="External" /><Relationship Type="http://schemas.openxmlformats.org/officeDocument/2006/relationships/hyperlink" Id="rId162" Target="https://doi.org/10.1016/j.foreco.2022.120353" TargetMode="External" /><Relationship Type="http://schemas.openxmlformats.org/officeDocument/2006/relationships/hyperlink" Id="rId302" Target="https://doi.org/10.1016/j.foreco.2022.120602" TargetMode="External" /><Relationship Type="http://schemas.openxmlformats.org/officeDocument/2006/relationships/hyperlink" Id="rId185" Target="https://doi.org/10.1023/A:1006502107495" TargetMode="External" /><Relationship Type="http://schemas.openxmlformats.org/officeDocument/2006/relationships/hyperlink" Id="rId274" Target="https://doi.org/10.1029/2020GL089858" TargetMode="External" /><Relationship Type="http://schemas.openxmlformats.org/officeDocument/2006/relationships/hyperlink" Id="rId212" Target="https://doi.org/10.1071/wf01028" TargetMode="External" /><Relationship Type="http://schemas.openxmlformats.org/officeDocument/2006/relationships/hyperlink" Id="rId289" Target="https://doi.org/10.1093/forestry/75.4.329" TargetMode="External" /><Relationship Type="http://schemas.openxmlformats.org/officeDocument/2006/relationships/hyperlink" Id="rId263" Target="https://doi.org/10.1093/forestry/75.4.339" TargetMode="External" /><Relationship Type="http://schemas.openxmlformats.org/officeDocument/2006/relationships/hyperlink" Id="rId278" Target="https://doi.org/10.1093/forestscience/16.3.339" TargetMode="External" /><Relationship Type="http://schemas.openxmlformats.org/officeDocument/2006/relationships/hyperlink" Id="rId155" Target="https://doi.org/10.1093/forsci/fxaa031" TargetMode="External" /><Relationship Type="http://schemas.openxmlformats.org/officeDocument/2006/relationships/hyperlink" Id="rId221" Target="https://doi.org/10.1093/jof/38.9.729" TargetMode="External" /><Relationship Type="http://schemas.openxmlformats.org/officeDocument/2006/relationships/hyperlink" Id="rId259" Target="https://doi.org/10.1093/jof/96.7.4a" TargetMode="External" /><Relationship Type="http://schemas.openxmlformats.org/officeDocument/2006/relationships/hyperlink" Id="rId257" Target="https://doi.org/10.1093/jofore/fvab026" TargetMode="External" /><Relationship Type="http://schemas.openxmlformats.org/officeDocument/2006/relationships/hyperlink" Id="rId315" Target="https://doi.org/10.1093/wjaf/12.1.21" TargetMode="External" /><Relationship Type="http://schemas.openxmlformats.org/officeDocument/2006/relationships/hyperlink" Id="rId149" Target="https://doi.org/10.1093/wjaf/24.1.24" TargetMode="External" /><Relationship Type="http://schemas.openxmlformats.org/officeDocument/2006/relationships/hyperlink" Id="rId196" Target="https://doi.org/10.1093/wjaf/7.4.103" TargetMode="External" /><Relationship Type="http://schemas.openxmlformats.org/officeDocument/2006/relationships/hyperlink" Id="rId310" Target="https://doi.org/10.1098/rstb.2015.0178" TargetMode="External" /><Relationship Type="http://schemas.openxmlformats.org/officeDocument/2006/relationships/hyperlink" Id="rId166" Target="https://doi.org/10.1111/rec.12681" TargetMode="External" /><Relationship Type="http://schemas.openxmlformats.org/officeDocument/2006/relationships/hyperlink" Id="rId147" Target="https://doi.org/10.1139/X06-271" TargetMode="External" /><Relationship Type="http://schemas.openxmlformats.org/officeDocument/2006/relationships/hyperlink" Id="rId210" Target="https://doi.org/10.1139/X08-003" TargetMode="External" /><Relationship Type="http://schemas.openxmlformats.org/officeDocument/2006/relationships/hyperlink" Id="rId168" Target="https://doi.org/10.1139/cjfr-2022-0214" TargetMode="External" /><Relationship Type="http://schemas.openxmlformats.org/officeDocument/2006/relationships/hyperlink" Id="rId189" Target="https://doi.org/10.1139/x06-206" TargetMode="External" /><Relationship Type="http://schemas.openxmlformats.org/officeDocument/2006/relationships/hyperlink" Id="rId172" Target="https://doi.org/10.1139/x26-066" TargetMode="External" /><Relationship Type="http://schemas.openxmlformats.org/officeDocument/2006/relationships/hyperlink" Id="rId276" Target="https://doi.org/10.1139/x93-073" TargetMode="External" /><Relationship Type="http://schemas.openxmlformats.org/officeDocument/2006/relationships/hyperlink" Id="rId175" Target="https://doi.org/10.1139/x93-143" TargetMode="External" /><Relationship Type="http://schemas.openxmlformats.org/officeDocument/2006/relationships/hyperlink" Id="rId145" Target="https://doi.org/10.1186/s13717-019-0181-9" TargetMode="External" /><Relationship Type="http://schemas.openxmlformats.org/officeDocument/2006/relationships/hyperlink" Id="rId139" Target="https://doi.org/10.18637/jss.v111.i09" TargetMode="External" /><Relationship Type="http://schemas.openxmlformats.org/officeDocument/2006/relationships/hyperlink" Id="rId282" Target="https://doi.org/10.2737/PSW-GTR-256" TargetMode="External" /><Relationship Type="http://schemas.openxmlformats.org/officeDocument/2006/relationships/hyperlink" Id="rId183" Target="https://doi.org/10.2737/RMRS-GTR-164" TargetMode="External" /><Relationship Type="http://schemas.openxmlformats.org/officeDocument/2006/relationships/hyperlink" Id="rId238" Target="https://doi.org/10.2737/RMRS-RP-103" TargetMode="External" /><Relationship Type="http://schemas.openxmlformats.org/officeDocument/2006/relationships/hyperlink" Id="rId159" Target="https://doi.org/10.32614/RJ-2017-066" TargetMode="External" /><Relationship Type="http://schemas.openxmlformats.org/officeDocument/2006/relationships/hyperlink" Id="rId313" Target="https://doi.org/10.3390/f16061000" TargetMode="External" /><Relationship Type="http://schemas.openxmlformats.org/officeDocument/2006/relationships/hyperlink" Id="rId267" Target="https://doi.org/10.3390/f8050144" TargetMode="External" /><Relationship Type="http://schemas.openxmlformats.org/officeDocument/2006/relationships/hyperlink" Id="rId284" Target="https://doi.org/10.3390/su152316409" TargetMode="External" /><Relationship Type="http://schemas.openxmlformats.org/officeDocument/2006/relationships/hyperlink" Id="rId244" Target="https://doi.org/10.5558/tfc78397-3" TargetMode="External" /><Relationship Type="http://schemas.openxmlformats.org/officeDocument/2006/relationships/hyperlink" Id="rId223" Target="https://doi.org/10.5849/FS-2016-029R2" TargetMode="External" /><Relationship Type="http://schemas.openxmlformats.org/officeDocument/2006/relationships/hyperlink" Id="rId294" Target="https://esajournals.onlinelibrary.wiley.com/doi/full/10.1890/07-1755.1" TargetMode="External" /><Relationship Type="http://schemas.openxmlformats.org/officeDocument/2006/relationships/hyperlink" Id="rId240" Target="https://ir.library.oregonstate.edu/downloads/70795d72s" TargetMode="External" /><Relationship Type="http://schemas.openxmlformats.org/officeDocument/2006/relationships/hyperlink" Id="rId187" Target="https://scholarworks.calstate.edu/concern/theses/ws859j014" TargetMode="External" /><Relationship Type="http://schemas.openxmlformats.org/officeDocument/2006/relationships/hyperlink" Id="rId200" Target="https://www.andrewheiss.com/blog/2022/11/29/conditional-marginal-marginaleffects/" TargetMode="External" /><Relationship Type="http://schemas.openxmlformats.org/officeDocument/2006/relationships/hyperlink" Id="rId192" Target="https://www.elibrary.ru/item.asp?id=7397149" TargetMode="External" /><Relationship Type="http://schemas.openxmlformats.org/officeDocument/2006/relationships/hyperlink" Id="rId202" Target="https://www.frontiersin.org/articles/10.3389/ffgc.2020.00078" TargetMode="External" /><Relationship Type="http://schemas.openxmlformats.org/officeDocument/2006/relationships/hyperlink" Id="rId181" Target="https://www.fs.usda.gov/database/feis/plants/tree/notden/all.html" TargetMode="External" /><Relationship Type="http://schemas.openxmlformats.org/officeDocument/2006/relationships/hyperlink" Id="rId250" Target="https://www.fs.usda.gov/research/treesearch/37978" TargetMode="External" /><Relationship Type="http://schemas.openxmlformats.org/officeDocument/2006/relationships/hyperlink" Id="rId306" Target="https://www.fs.usda.gov/research/treesearch/41828" TargetMode="External" /><Relationship Type="http://schemas.openxmlformats.org/officeDocument/2006/relationships/hyperlink" Id="rId151" Target="https://www.fs.usda.gov/treesearch/pubs/55449" TargetMode="External" /><Relationship Type="http://schemas.openxmlformats.org/officeDocument/2006/relationships/hyperlink" Id="rId280" Target="https://www.fs.usda.gov/treesearch/pubs/60134" TargetMode="External" /><Relationship Type="http://schemas.openxmlformats.org/officeDocument/2006/relationships/hyperlink" Id="rId231" Target="https://www.google.com/books/edition/Sprout_Regeneration_of_Young_growth_Redw/48fMLtW9rRgC" TargetMode="External" /><Relationship Type="http://schemas.openxmlformats.org/officeDocument/2006/relationships/hyperlink" Id="rId194"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2025-12-21T16:16:38Z</dcterms:created>
  <dcterms:modified xsi:type="dcterms:W3CDTF">2025-12-21T16:16:38Z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December 21,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